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firstLine="1807" w:firstLineChars="500"/>
        <w:jc w:val="both"/>
        <w:textAlignment w:val="auto"/>
        <w:rPr>
          <w:rFonts w:hint="eastAsia" w:ascii="宋体" w:hAnsi="宋体" w:eastAsiaTheme="minorEastAsia"/>
          <w:b/>
          <w:color w:val="000000"/>
          <w:sz w:val="36"/>
          <w:szCs w:val="36"/>
          <w:highlight w:val="none"/>
          <w:lang w:val="en-US" w:eastAsia="zh-CN"/>
        </w:rPr>
      </w:pPr>
      <w:r>
        <w:rPr>
          <w:rFonts w:hint="eastAsia" w:ascii="宋体" w:hAnsi="宋体"/>
          <w:b/>
          <w:color w:val="000000"/>
          <w:sz w:val="36"/>
          <w:szCs w:val="36"/>
          <w:highlight w:val="none"/>
        </w:rPr>
        <w:t>中国保险业2</w:t>
      </w:r>
      <w:r>
        <w:rPr>
          <w:rFonts w:ascii="宋体" w:hAnsi="宋体"/>
          <w:b/>
          <w:color w:val="000000"/>
          <w:sz w:val="36"/>
          <w:szCs w:val="36"/>
          <w:highlight w:val="none"/>
        </w:rPr>
        <w:t>02</w:t>
      </w:r>
      <w:r>
        <w:rPr>
          <w:rFonts w:hint="eastAsia" w:ascii="宋体" w:hAnsi="宋体"/>
          <w:b/>
          <w:color w:val="000000"/>
          <w:sz w:val="36"/>
          <w:szCs w:val="36"/>
          <w:highlight w:val="none"/>
        </w:rPr>
        <w:t>2年度十件大事</w:t>
      </w:r>
    </w:p>
    <w:p>
      <w:pPr>
        <w:pStyle w:val="2"/>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3" w:firstLineChars="200"/>
        <w:textAlignment w:val="auto"/>
        <w:rPr>
          <w:rFonts w:hint="default" w:ascii="黑体" w:hAnsi="黑体" w:eastAsia="黑体" w:cs="宋体"/>
          <w:color w:val="000000"/>
          <w:kern w:val="0"/>
          <w:sz w:val="32"/>
          <w:szCs w:val="32"/>
          <w:highlight w:val="none"/>
        </w:rPr>
      </w:pPr>
    </w:p>
    <w:p>
      <w:pPr>
        <w:keepNext w:val="0"/>
        <w:keepLines w:val="0"/>
        <w:pageBreakBefore w:val="0"/>
        <w:shd w:val="clear" w:color="auto" w:fill="FEFEFE"/>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黑体" w:cs="仿宋"/>
          <w:color w:val="333333"/>
          <w:kern w:val="2"/>
          <w:sz w:val="30"/>
          <w:szCs w:val="30"/>
          <w:highlight w:val="none"/>
          <w:shd w:val="clear" w:color="auto" w:fill="FEFEFE"/>
          <w:lang w:val="en-US" w:eastAsia="zh-CN"/>
        </w:rPr>
      </w:pPr>
      <w:r>
        <w:rPr>
          <w:rFonts w:hint="eastAsia" w:ascii="黑体" w:hAnsi="黑体" w:eastAsia="黑体" w:cs="宋体"/>
          <w:b/>
          <w:color w:val="000000"/>
          <w:kern w:val="0"/>
          <w:sz w:val="32"/>
          <w:szCs w:val="32"/>
          <w:highlight w:val="none"/>
        </w:rPr>
        <w:t>一、2022年，保险业全面贯彻习近平新时代中国特色社会主义思想，以实际行动迎接党的二十大胜利召开。深入学习宣传贯彻党的二十大精神</w:t>
      </w:r>
      <w:r>
        <w:rPr>
          <w:rFonts w:hint="eastAsia" w:ascii="黑体" w:hAnsi="黑体" w:eastAsia="黑体" w:cs="宋体"/>
          <w:b/>
          <w:color w:val="000000"/>
          <w:kern w:val="0"/>
          <w:sz w:val="32"/>
          <w:szCs w:val="32"/>
          <w:highlight w:val="none"/>
          <w:lang w:eastAsia="zh-CN"/>
        </w:rPr>
        <w:t>，推动党的二十大精神转化为走好中国特色</w:t>
      </w:r>
      <w:r>
        <w:rPr>
          <w:rFonts w:hint="eastAsia" w:ascii="黑体" w:hAnsi="黑体" w:eastAsia="黑体" w:cs="宋体"/>
          <w:b/>
          <w:color w:val="000000"/>
          <w:kern w:val="0"/>
          <w:sz w:val="32"/>
          <w:szCs w:val="32"/>
          <w:highlight w:val="none"/>
          <w:lang w:val="en-US" w:eastAsia="zh-CN"/>
        </w:rPr>
        <w:t>保险</w:t>
      </w:r>
      <w:r>
        <w:rPr>
          <w:rFonts w:hint="eastAsia" w:ascii="黑体" w:hAnsi="黑体" w:eastAsia="黑体" w:cs="宋体"/>
          <w:b/>
          <w:color w:val="000000"/>
          <w:kern w:val="0"/>
          <w:sz w:val="32"/>
          <w:szCs w:val="32"/>
          <w:highlight w:val="none"/>
          <w:lang w:eastAsia="zh-CN"/>
        </w:rPr>
        <w:t>发展之路的强大动力和生动实践。</w:t>
      </w:r>
    </w:p>
    <w:p>
      <w:pPr>
        <w:keepNext w:val="0"/>
        <w:keepLines w:val="0"/>
        <w:pageBreakBefore w:val="0"/>
        <w:shd w:val="clear" w:color="auto" w:fill="FEFEFE"/>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 w:eastAsia="仿宋_GB2312"/>
          <w:color w:val="000000"/>
          <w:sz w:val="32"/>
          <w:szCs w:val="32"/>
          <w:highlight w:val="none"/>
        </w:rPr>
      </w:pPr>
      <w:r>
        <w:rPr>
          <w:rFonts w:hint="eastAsia" w:ascii="仿宋_GB2312" w:hAnsi="仿宋" w:eastAsia="仿宋_GB2312" w:cs="宋体"/>
          <w:b/>
          <w:color w:val="000000"/>
          <w:kern w:val="0"/>
          <w:sz w:val="32"/>
          <w:szCs w:val="32"/>
          <w:highlight w:val="none"/>
          <w:lang w:val="en-US" w:eastAsia="zh-CN" w:bidi="ar-SA"/>
        </w:rPr>
        <w:t>概述：</w:t>
      </w:r>
      <w:r>
        <w:rPr>
          <w:rFonts w:hint="eastAsia" w:ascii="仿宋_GB2312" w:hAnsi="仿宋" w:eastAsia="仿宋_GB2312"/>
          <w:color w:val="000000"/>
          <w:sz w:val="32"/>
          <w:szCs w:val="32"/>
          <w:highlight w:val="none"/>
        </w:rPr>
        <w:t>2022年，是中国共产党第二十次全国代表大会的召开之年，是在全党全国各族人民迈上全面建设社会主义现代化国家新征程、向第二个百年奋斗目标进军的关键一年。保险业全面贯彻习近平新时代中国特色社会主义思想，以实际行动迎接党的二十大胜利召开。</w:t>
      </w:r>
    </w:p>
    <w:p>
      <w:pPr>
        <w:keepNext w:val="0"/>
        <w:keepLines w:val="0"/>
        <w:pageBreakBefore w:val="0"/>
        <w:shd w:val="clear" w:color="auto" w:fill="FEFEFE"/>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中国保险行业协会</w:t>
      </w:r>
      <w:r>
        <w:rPr>
          <w:rFonts w:hint="eastAsia" w:ascii="仿宋_GB2312" w:hAnsi="仿宋" w:eastAsia="仿宋_GB2312"/>
          <w:color w:val="000000"/>
          <w:sz w:val="32"/>
          <w:szCs w:val="32"/>
          <w:highlight w:val="none"/>
          <w:lang w:val="en-US" w:eastAsia="zh-CN"/>
        </w:rPr>
        <w:t>以“奋进新征程，保险守护稳稳的幸福”为主题，组织行业开展</w:t>
      </w:r>
      <w:r>
        <w:rPr>
          <w:rFonts w:hint="eastAsia" w:ascii="仿宋_GB2312" w:hAnsi="仿宋" w:eastAsia="仿宋_GB2312"/>
          <w:color w:val="000000"/>
          <w:sz w:val="32"/>
          <w:szCs w:val="32"/>
          <w:highlight w:val="none"/>
        </w:rPr>
        <w:t>“7.8全国保险公众宣传日”</w:t>
      </w:r>
      <w:r>
        <w:rPr>
          <w:rFonts w:hint="eastAsia" w:ascii="仿宋_GB2312" w:hAnsi="仿宋" w:eastAsia="仿宋_GB2312"/>
          <w:color w:val="000000"/>
          <w:sz w:val="32"/>
          <w:szCs w:val="32"/>
          <w:highlight w:val="none"/>
          <w:lang w:val="en-US" w:eastAsia="zh-CN"/>
        </w:rPr>
        <w:t>活动</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在全行业掀起喜迎党的二十大胜利召开的热烈氛围。</w:t>
      </w:r>
      <w:r>
        <w:rPr>
          <w:rFonts w:hint="eastAsia" w:ascii="仿宋_GB2312" w:hAnsi="仿宋" w:eastAsia="仿宋_GB2312"/>
          <w:color w:val="000000"/>
          <w:sz w:val="32"/>
          <w:szCs w:val="32"/>
          <w:highlight w:val="none"/>
        </w:rPr>
        <w:t>通过抖音和微信视频号发起</w:t>
      </w:r>
      <w:r>
        <w:rPr>
          <w:rFonts w:hint="eastAsia" w:ascii="仿宋_GB2312" w:hAnsi="仿宋" w:eastAsia="仿宋_GB2312"/>
          <w:color w:val="000000"/>
          <w:sz w:val="32"/>
          <w:szCs w:val="32"/>
          <w:highlight w:val="none"/>
          <w:lang w:val="en-US" w:eastAsia="zh-CN"/>
        </w:rPr>
        <w:t>歌唱党歌唱祖国</w:t>
      </w:r>
      <w:r>
        <w:rPr>
          <w:rFonts w:hint="eastAsia" w:ascii="仿宋_GB2312" w:hAnsi="仿宋" w:eastAsia="仿宋_GB2312"/>
          <w:color w:val="000000"/>
          <w:sz w:val="32"/>
          <w:szCs w:val="32"/>
          <w:highlight w:val="none"/>
        </w:rPr>
        <w:t>短视频挑战赛，播放量3</w:t>
      </w:r>
      <w:r>
        <w:rPr>
          <w:rFonts w:hint="eastAsia" w:ascii="仿宋_GB2312" w:hAnsi="仿宋" w:eastAsia="仿宋_GB2312"/>
          <w:color w:val="000000"/>
          <w:sz w:val="32"/>
          <w:szCs w:val="32"/>
          <w:highlight w:val="none"/>
          <w:lang w:val="en-US" w:eastAsia="zh-CN"/>
        </w:rPr>
        <w:t>300</w:t>
      </w:r>
      <w:r>
        <w:rPr>
          <w:rFonts w:hint="eastAsia" w:ascii="仿宋_GB2312" w:hAnsi="仿宋" w:eastAsia="仿宋_GB2312"/>
          <w:color w:val="000000"/>
          <w:sz w:val="32"/>
          <w:szCs w:val="32"/>
          <w:highlight w:val="none"/>
        </w:rPr>
        <w:t>万次。在新浪微博开展“cue到我的幸福感”网络话题活动</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阅读次数逾7000万次。开展“助推乡村振兴、服务老年群体”保险公益健步走活动，38家保险公司认领80个公益项目，累计捐赠150.21亿元保额的保险产品及价值362.9万元的物资及服务，受益人群22.77万人。</w:t>
      </w:r>
      <w:bookmarkStart w:id="0" w:name="_GoBack"/>
      <w:bookmarkEnd w:id="0"/>
    </w:p>
    <w:p>
      <w:pPr>
        <w:pStyle w:val="6"/>
        <w:widowControl/>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60" w:lineRule="exact"/>
        <w:ind w:firstLine="640" w:firstLineChars="200"/>
        <w:rPr>
          <w:rFonts w:hint="eastAsia" w:ascii="仿宋_GB2312" w:hAnsi="仿宋" w:eastAsia="仿宋_GB2312" w:cstheme="minorBidi"/>
          <w:color w:val="000000"/>
          <w:sz w:val="32"/>
          <w:szCs w:val="32"/>
          <w:highlight w:val="none"/>
        </w:rPr>
      </w:pPr>
      <w:r>
        <w:rPr>
          <w:rFonts w:hint="eastAsia" w:ascii="仿宋_GB2312" w:hAnsi="仿宋" w:eastAsia="仿宋_GB2312"/>
          <w:color w:val="000000"/>
          <w:sz w:val="32"/>
          <w:szCs w:val="32"/>
          <w:highlight w:val="none"/>
        </w:rPr>
        <w:t>10月16日，中国共产党第二十次会全国人民代表大会在京召开</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中国银保监会组织</w:t>
      </w:r>
      <w:r>
        <w:rPr>
          <w:rFonts w:hint="eastAsia" w:ascii="仿宋_GB2312" w:hAnsi="仿宋" w:eastAsia="仿宋_GB2312"/>
          <w:color w:val="000000"/>
          <w:sz w:val="32"/>
          <w:szCs w:val="32"/>
          <w:highlight w:val="none"/>
          <w:lang w:val="en-US" w:eastAsia="zh-CN"/>
        </w:rPr>
        <w:t>系统</w:t>
      </w:r>
      <w:r>
        <w:rPr>
          <w:rFonts w:hint="eastAsia" w:ascii="仿宋_GB2312" w:hAnsi="仿宋" w:eastAsia="仿宋_GB2312"/>
          <w:color w:val="000000"/>
          <w:sz w:val="32"/>
          <w:szCs w:val="32"/>
          <w:highlight w:val="none"/>
        </w:rPr>
        <w:t>广大党员干部</w:t>
      </w:r>
      <w:r>
        <w:rPr>
          <w:rFonts w:hint="eastAsia" w:ascii="仿宋_GB2312" w:hAnsi="仿宋" w:eastAsia="仿宋_GB2312"/>
          <w:color w:val="000000"/>
          <w:sz w:val="32"/>
          <w:szCs w:val="32"/>
          <w:highlight w:val="none"/>
          <w:lang w:val="en-US" w:eastAsia="zh-CN"/>
        </w:rPr>
        <w:t>群众</w:t>
      </w:r>
      <w:r>
        <w:rPr>
          <w:rFonts w:hint="eastAsia" w:ascii="仿宋_GB2312" w:hAnsi="仿宋" w:eastAsia="仿宋_GB2312"/>
          <w:color w:val="000000"/>
          <w:sz w:val="32"/>
          <w:szCs w:val="32"/>
          <w:highlight w:val="none"/>
        </w:rPr>
        <w:t>认真收听收看开幕盛况。中央金融系统代表团44名党代表肩负着170余万名金融管理部门和中央金融机构党员的重托，以高度的政治责任感和历史使命感，庄严行使权利，忠实履行职责，圆满完成大会各项任务。</w:t>
      </w:r>
      <w:r>
        <w:rPr>
          <w:rFonts w:hint="eastAsia" w:ascii="仿宋_GB2312" w:hAnsi="仿宋" w:eastAsia="仿宋_GB2312" w:cstheme="minorBidi"/>
          <w:i w:val="0"/>
          <w:iCs w:val="0"/>
          <w:caps w:val="0"/>
          <w:color w:val="000000"/>
          <w:spacing w:val="0"/>
          <w:sz w:val="32"/>
          <w:szCs w:val="32"/>
          <w:highlight w:val="none"/>
          <w:shd w:val="clear" w:fill="FFFFFF"/>
        </w:rPr>
        <w:t>10月24日，</w:t>
      </w:r>
      <w:r>
        <w:rPr>
          <w:rFonts w:hint="eastAsia" w:ascii="仿宋_GB2312" w:hAnsi="仿宋" w:eastAsia="仿宋_GB2312" w:cstheme="minorBidi"/>
          <w:i w:val="0"/>
          <w:iCs w:val="0"/>
          <w:caps w:val="0"/>
          <w:color w:val="000000"/>
          <w:spacing w:val="0"/>
          <w:sz w:val="32"/>
          <w:szCs w:val="32"/>
          <w:highlight w:val="none"/>
          <w:shd w:val="clear"/>
          <w:lang w:val="en-US" w:eastAsia="zh-CN"/>
        </w:rPr>
        <w:t>中国</w:t>
      </w:r>
      <w:r>
        <w:rPr>
          <w:rFonts w:hint="eastAsia" w:ascii="仿宋_GB2312" w:hAnsi="仿宋" w:eastAsia="仿宋_GB2312" w:cstheme="minorBidi"/>
          <w:i w:val="0"/>
          <w:iCs w:val="0"/>
          <w:caps w:val="0"/>
          <w:color w:val="000000"/>
          <w:spacing w:val="0"/>
          <w:sz w:val="32"/>
          <w:szCs w:val="32"/>
          <w:highlight w:val="none"/>
          <w:shd w:val="clear" w:fill="FFFFFF"/>
        </w:rPr>
        <w:t>银保监会召开党委（扩大）会议，传达学习党的二十大、二十届一中全会精神，研究部署贯彻落实工作。</w:t>
      </w:r>
      <w:r>
        <w:rPr>
          <w:rFonts w:hint="eastAsia" w:ascii="仿宋_GB2312" w:hAnsi="仿宋" w:eastAsia="仿宋_GB2312" w:cstheme="minorBidi"/>
          <w:i w:val="0"/>
          <w:iCs w:val="0"/>
          <w:caps w:val="0"/>
          <w:color w:val="000000"/>
          <w:spacing w:val="0"/>
          <w:sz w:val="32"/>
          <w:szCs w:val="32"/>
          <w:highlight w:val="none"/>
          <w:shd w:val="clear"/>
          <w:lang w:val="en-US" w:eastAsia="zh-CN"/>
        </w:rPr>
        <w:t>11月3日，</w:t>
      </w:r>
      <w:r>
        <w:rPr>
          <w:rFonts w:hint="eastAsia" w:ascii="仿宋_GB2312" w:hAnsi="仿宋" w:eastAsia="仿宋_GB2312" w:cstheme="minorBidi"/>
          <w:i w:val="0"/>
          <w:iCs w:val="0"/>
          <w:caps w:val="0"/>
          <w:color w:val="000000"/>
          <w:spacing w:val="0"/>
          <w:sz w:val="32"/>
          <w:szCs w:val="32"/>
          <w:highlight w:val="none"/>
          <w:shd w:val="clear" w:fill="FFFFFF"/>
        </w:rPr>
        <w:t>中央宣讲团成员、</w:t>
      </w:r>
      <w:r>
        <w:rPr>
          <w:rFonts w:hint="eastAsia" w:ascii="仿宋_GB2312" w:hAnsi="仿宋" w:eastAsia="仿宋_GB2312" w:cstheme="minorBidi"/>
          <w:i w:val="0"/>
          <w:iCs w:val="0"/>
          <w:caps w:val="0"/>
          <w:color w:val="000000"/>
          <w:spacing w:val="0"/>
          <w:sz w:val="32"/>
          <w:szCs w:val="32"/>
          <w:highlight w:val="none"/>
          <w:shd w:val="clear"/>
          <w:lang w:val="en-US" w:eastAsia="zh-CN"/>
        </w:rPr>
        <w:t>中国</w:t>
      </w:r>
      <w:r>
        <w:rPr>
          <w:rFonts w:hint="eastAsia" w:ascii="仿宋_GB2312" w:hAnsi="仿宋" w:eastAsia="仿宋_GB2312" w:cstheme="minorBidi"/>
          <w:i w:val="0"/>
          <w:iCs w:val="0"/>
          <w:caps w:val="0"/>
          <w:color w:val="000000"/>
          <w:spacing w:val="0"/>
          <w:sz w:val="32"/>
          <w:szCs w:val="32"/>
          <w:highlight w:val="none"/>
          <w:shd w:val="clear" w:fill="FFFFFF"/>
        </w:rPr>
        <w:t>人民银行党委书记、</w:t>
      </w:r>
      <w:r>
        <w:rPr>
          <w:rFonts w:hint="eastAsia" w:ascii="仿宋_GB2312" w:hAnsi="仿宋" w:eastAsia="仿宋_GB2312" w:cstheme="minorBidi"/>
          <w:i w:val="0"/>
          <w:iCs w:val="0"/>
          <w:caps w:val="0"/>
          <w:color w:val="000000"/>
          <w:spacing w:val="0"/>
          <w:sz w:val="32"/>
          <w:szCs w:val="32"/>
          <w:highlight w:val="none"/>
          <w:shd w:val="clear"/>
          <w:lang w:val="en-US" w:eastAsia="zh-CN"/>
        </w:rPr>
        <w:t>中国</w:t>
      </w:r>
      <w:r>
        <w:rPr>
          <w:rFonts w:hint="eastAsia" w:ascii="仿宋_GB2312" w:hAnsi="仿宋" w:eastAsia="仿宋_GB2312" w:cstheme="minorBidi"/>
          <w:i w:val="0"/>
          <w:iCs w:val="0"/>
          <w:caps w:val="0"/>
          <w:color w:val="000000"/>
          <w:spacing w:val="0"/>
          <w:sz w:val="32"/>
          <w:szCs w:val="32"/>
          <w:highlight w:val="none"/>
          <w:shd w:val="clear" w:fill="FFFFFF"/>
        </w:rPr>
        <w:t>银保监会党委书记郭树清面向银保监会系统和银行业保险业机构对党的二十大精神进行系统宣讲。</w:t>
      </w:r>
      <w:r>
        <w:rPr>
          <w:rFonts w:hint="eastAsia" w:ascii="仿宋_GB2312" w:hAnsi="仿宋" w:eastAsia="仿宋_GB2312" w:cstheme="minorBidi"/>
          <w:i w:val="0"/>
          <w:iCs w:val="0"/>
          <w:caps w:val="0"/>
          <w:color w:val="000000"/>
          <w:spacing w:val="0"/>
          <w:sz w:val="32"/>
          <w:szCs w:val="32"/>
          <w:highlight w:val="none"/>
          <w:shd w:val="clear"/>
          <w:lang w:val="en-US" w:eastAsia="zh-CN"/>
        </w:rPr>
        <w:t>11月，</w:t>
      </w:r>
      <w:r>
        <w:rPr>
          <w:rFonts w:hint="eastAsia" w:ascii="仿宋_GB2312" w:hAnsi="仿宋" w:eastAsia="仿宋_GB2312" w:cstheme="minorBidi"/>
          <w:color w:val="000000"/>
          <w:sz w:val="32"/>
          <w:szCs w:val="32"/>
          <w:highlight w:val="none"/>
        </w:rPr>
        <w:t>银保监会党委办公室印发《中国银保监会学习宣传贯彻党的二十大精神工作方案》，就银保监会系统学习宣传贯彻党的二十大精神作出部署。</w:t>
      </w:r>
    </w:p>
    <w:p>
      <w:pPr>
        <w:pStyle w:val="6"/>
        <w:widowControl/>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60" w:lineRule="exact"/>
        <w:ind w:firstLine="640" w:firstLineChars="200"/>
        <w:rPr>
          <w:rFonts w:hint="eastAsia"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中国保险行业协会</w:t>
      </w:r>
      <w:r>
        <w:rPr>
          <w:rFonts w:hint="eastAsia" w:ascii="仿宋_GB2312" w:hAnsi="仿宋" w:eastAsia="仿宋_GB2312"/>
          <w:color w:val="000000"/>
          <w:sz w:val="32"/>
          <w:szCs w:val="32"/>
          <w:highlight w:val="none"/>
          <w:lang w:val="en-US" w:eastAsia="zh-CN"/>
        </w:rPr>
        <w:t>通过中国保险大讲堂</w:t>
      </w:r>
      <w:r>
        <w:rPr>
          <w:rFonts w:hint="eastAsia" w:ascii="仿宋_GB2312" w:hAnsi="仿宋" w:eastAsia="仿宋_GB2312"/>
          <w:color w:val="000000"/>
          <w:sz w:val="32"/>
          <w:szCs w:val="32"/>
          <w:highlight w:val="none"/>
        </w:rPr>
        <w:t>，采取线上线下相结合的方式，邀请</w:t>
      </w:r>
      <w:r>
        <w:rPr>
          <w:rFonts w:hint="eastAsia" w:ascii="仿宋_GB2312" w:hAnsi="仿宋" w:eastAsia="仿宋_GB2312"/>
          <w:color w:val="000000"/>
          <w:sz w:val="32"/>
          <w:szCs w:val="32"/>
          <w:highlight w:val="none"/>
          <w:lang w:val="en-US" w:eastAsia="zh-CN"/>
        </w:rPr>
        <w:t>专家面向会员单位</w:t>
      </w:r>
      <w:r>
        <w:rPr>
          <w:rFonts w:hint="eastAsia" w:ascii="仿宋_GB2312" w:hAnsi="仿宋" w:eastAsia="仿宋_GB2312"/>
          <w:color w:val="000000"/>
          <w:sz w:val="32"/>
          <w:szCs w:val="32"/>
          <w:highlight w:val="none"/>
        </w:rPr>
        <w:t>宣讲辅导党的二十大精神</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各保险机构总公司部门负责人及以上人员、省级公司班子成员和部分党员代表约1500人参加学习</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lang w:val="en-US" w:eastAsia="zh-CN"/>
        </w:rPr>
        <w:t>带动</w:t>
      </w:r>
      <w:r>
        <w:rPr>
          <w:rFonts w:hint="eastAsia" w:ascii="仿宋_GB2312" w:hAnsi="仿宋" w:eastAsia="仿宋_GB2312"/>
          <w:color w:val="000000"/>
          <w:sz w:val="32"/>
          <w:szCs w:val="32"/>
          <w:highlight w:val="none"/>
        </w:rPr>
        <w:t>行业在学、悟、干上出实招，推动党的二十大精神走进基层、走进群众</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lang w:val="en-US" w:eastAsia="zh-CN"/>
        </w:rPr>
        <w:t>切实将党的二十大精神转化为保险业支持服务实体经济</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国家治理、</w:t>
      </w:r>
      <w:r>
        <w:rPr>
          <w:rFonts w:hint="eastAsia" w:ascii="仿宋_GB2312" w:hAnsi="仿宋" w:eastAsia="仿宋_GB2312"/>
          <w:color w:val="000000"/>
          <w:sz w:val="32"/>
          <w:szCs w:val="32"/>
          <w:highlight w:val="none"/>
        </w:rPr>
        <w:t>科技创新、绿色发展、乡村振兴、制造业强国等国家重大战略、经济社会发展重点领域</w:t>
      </w:r>
      <w:r>
        <w:rPr>
          <w:rFonts w:hint="eastAsia" w:ascii="仿宋_GB2312" w:hAnsi="仿宋" w:eastAsia="仿宋_GB2312"/>
          <w:color w:val="000000"/>
          <w:sz w:val="32"/>
          <w:szCs w:val="32"/>
          <w:highlight w:val="none"/>
          <w:lang w:val="en-US" w:eastAsia="zh-CN"/>
        </w:rPr>
        <w:t>的具体举措和扎实成果</w:t>
      </w:r>
      <w:r>
        <w:rPr>
          <w:rFonts w:hint="eastAsia" w:ascii="仿宋_GB2312" w:hAnsi="仿宋" w:eastAsia="仿宋_GB2312"/>
          <w:color w:val="000000"/>
          <w:sz w:val="32"/>
          <w:szCs w:val="32"/>
          <w:highlight w:val="none"/>
        </w:rPr>
        <w:t>。</w:t>
      </w:r>
    </w:p>
    <w:p>
      <w:pPr>
        <w:keepNext w:val="0"/>
        <w:keepLines w:val="0"/>
        <w:pageBreakBefore w:val="0"/>
        <w:shd w:val="clear" w:color="auto" w:fill="FEFEFE"/>
        <w:kinsoku/>
        <w:wordWrap/>
        <w:overflowPunct/>
        <w:topLinePunct w:val="0"/>
        <w:autoSpaceDE/>
        <w:autoSpaceDN/>
        <w:bidi w:val="0"/>
        <w:spacing w:beforeAutospacing="0" w:afterAutospacing="0" w:line="560" w:lineRule="exact"/>
        <w:ind w:firstLine="643" w:firstLineChars="200"/>
        <w:textAlignment w:val="auto"/>
        <w:rPr>
          <w:rFonts w:hint="eastAsia" w:ascii="黑体" w:hAnsi="黑体" w:eastAsia="黑体" w:cs="宋体"/>
          <w:b/>
          <w:color w:val="000000"/>
          <w:kern w:val="0"/>
          <w:sz w:val="32"/>
          <w:szCs w:val="32"/>
          <w:highlight w:val="none"/>
        </w:rPr>
      </w:pPr>
      <w:r>
        <w:rPr>
          <w:rFonts w:hint="eastAsia" w:ascii="黑体" w:hAnsi="黑体" w:eastAsia="黑体" w:cs="宋体"/>
          <w:b/>
          <w:color w:val="000000"/>
          <w:kern w:val="0"/>
          <w:sz w:val="32"/>
          <w:szCs w:val="32"/>
          <w:highlight w:val="none"/>
        </w:rPr>
        <w:t>二、2022年，保险业以习近平新时代中国特色社会主义思想为指导，认真贯彻落实党中央、国务院决策部署，加快转型发展步伐，提升服务实体经济质效，持续深化改革创新，</w:t>
      </w:r>
      <w:r>
        <w:rPr>
          <w:rFonts w:hint="eastAsia" w:ascii="黑体" w:hAnsi="黑体" w:eastAsia="黑体" w:cs="宋体"/>
          <w:b/>
          <w:color w:val="000000"/>
          <w:kern w:val="0"/>
          <w:sz w:val="32"/>
          <w:szCs w:val="32"/>
          <w:highlight w:val="none"/>
          <w:lang w:val="en-US" w:eastAsia="zh-CN"/>
        </w:rPr>
        <w:t>不断</w:t>
      </w:r>
      <w:r>
        <w:rPr>
          <w:rFonts w:hint="eastAsia" w:ascii="黑体" w:hAnsi="黑体" w:eastAsia="黑体" w:cs="宋体"/>
          <w:b/>
          <w:color w:val="000000"/>
          <w:kern w:val="0"/>
          <w:sz w:val="32"/>
          <w:szCs w:val="32"/>
          <w:highlight w:val="none"/>
        </w:rPr>
        <w:t>推进高水平对外开放</w:t>
      </w:r>
      <w:r>
        <w:rPr>
          <w:rFonts w:hint="eastAsia" w:ascii="黑体" w:hAnsi="黑体" w:eastAsia="黑体" w:cs="宋体"/>
          <w:b/>
          <w:color w:val="000000"/>
          <w:kern w:val="0"/>
          <w:sz w:val="32"/>
          <w:szCs w:val="32"/>
          <w:highlight w:val="none"/>
          <w:lang w:eastAsia="zh-CN"/>
        </w:rPr>
        <w:t>，</w:t>
      </w:r>
      <w:r>
        <w:rPr>
          <w:rFonts w:hint="eastAsia" w:ascii="黑体" w:hAnsi="黑体" w:eastAsia="黑体" w:cs="宋体"/>
          <w:b/>
          <w:color w:val="000000"/>
          <w:kern w:val="0"/>
          <w:sz w:val="32"/>
          <w:szCs w:val="32"/>
          <w:highlight w:val="none"/>
        </w:rPr>
        <w:t>推动保险业高质量发展迈上新台阶。</w:t>
      </w:r>
    </w:p>
    <w:p>
      <w:pPr>
        <w:keepNext w:val="0"/>
        <w:keepLines w:val="0"/>
        <w:pageBreakBefore w:val="0"/>
        <w:shd w:val="clear" w:color="auto" w:fill="FEFEFE"/>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 w:eastAsia="仿宋_GB2312"/>
          <w:color w:val="000000"/>
          <w:sz w:val="32"/>
          <w:szCs w:val="32"/>
          <w:highlight w:val="none"/>
        </w:rPr>
      </w:pPr>
      <w:r>
        <w:rPr>
          <w:rFonts w:hint="eastAsia" w:ascii="仿宋_GB2312" w:hAnsi="仿宋" w:eastAsia="仿宋_GB2312" w:cs="宋体"/>
          <w:b/>
          <w:color w:val="000000"/>
          <w:kern w:val="0"/>
          <w:sz w:val="32"/>
          <w:szCs w:val="32"/>
          <w:highlight w:val="none"/>
          <w:lang w:val="en-US" w:eastAsia="zh-CN" w:bidi="ar-SA"/>
        </w:rPr>
        <w:t>概述：</w:t>
      </w:r>
      <w:r>
        <w:rPr>
          <w:rFonts w:hint="eastAsia" w:ascii="仿宋_GB2312" w:hAnsi="仿宋" w:eastAsia="仿宋_GB2312" w:cs="宋体"/>
          <w:b w:val="0"/>
          <w:bCs/>
          <w:color w:val="000000"/>
          <w:kern w:val="0"/>
          <w:sz w:val="32"/>
          <w:szCs w:val="32"/>
          <w:highlight w:val="none"/>
          <w:lang w:val="en-US" w:eastAsia="zh-CN" w:bidi="ar-SA"/>
        </w:rPr>
        <w:t>2022年</w:t>
      </w:r>
      <w:r>
        <w:rPr>
          <w:rFonts w:hint="eastAsia" w:ascii="仿宋_GB2312" w:hAnsi="仿宋" w:eastAsia="仿宋_GB2312"/>
          <w:color w:val="000000"/>
          <w:sz w:val="32"/>
          <w:szCs w:val="32"/>
          <w:highlight w:val="none"/>
        </w:rPr>
        <w:t>1月，</w:t>
      </w:r>
      <w:r>
        <w:rPr>
          <w:rFonts w:hint="eastAsia" w:ascii="仿宋_GB2312" w:hAnsi="仿宋" w:eastAsia="仿宋_GB2312"/>
          <w:color w:val="000000"/>
          <w:sz w:val="32"/>
          <w:szCs w:val="32"/>
          <w:highlight w:val="none"/>
          <w:lang w:eastAsia="zh-CN"/>
        </w:rPr>
        <w:t>中国银保监会</w:t>
      </w:r>
      <w:r>
        <w:rPr>
          <w:rFonts w:hint="eastAsia" w:ascii="仿宋_GB2312" w:hAnsi="仿宋" w:eastAsia="仿宋_GB2312"/>
          <w:color w:val="000000"/>
          <w:sz w:val="32"/>
          <w:szCs w:val="32"/>
          <w:highlight w:val="none"/>
        </w:rPr>
        <w:t>召开“推动保险业高质量发展座谈会”，会议听取了相关保险机构对防止保险业过度竞争、实现差异化经营、更好服务实体经济的意见和建议，总结保险业发展取得的成绩，科学分析形势，明确行业高质量发展的目标和任务。</w:t>
      </w:r>
      <w:r>
        <w:rPr>
          <w:rFonts w:hint="eastAsia" w:ascii="仿宋_GB2312" w:hAnsi="仿宋" w:eastAsia="仿宋_GB2312"/>
          <w:color w:val="000000"/>
          <w:sz w:val="32"/>
          <w:szCs w:val="32"/>
          <w:highlight w:val="none"/>
          <w:lang w:val="en-US" w:eastAsia="zh-CN"/>
        </w:rPr>
        <w:t>7月，</w:t>
      </w:r>
      <w:r>
        <w:rPr>
          <w:rFonts w:hint="eastAsia" w:ascii="仿宋_GB2312" w:hAnsi="仿宋" w:eastAsia="仿宋_GB2312"/>
          <w:color w:val="000000"/>
          <w:sz w:val="32"/>
          <w:szCs w:val="32"/>
          <w:highlight w:val="none"/>
        </w:rPr>
        <w:t>中国银保监会办公厅印发</w:t>
      </w:r>
      <w:r>
        <w:rPr>
          <w:rFonts w:hint="eastAsia" w:ascii="仿宋_GB2312" w:hAnsi="仿宋" w:eastAsia="仿宋_GB2312"/>
          <w:color w:val="000000"/>
          <w:sz w:val="32"/>
          <w:szCs w:val="32"/>
          <w:highlight w:val="none"/>
          <w:lang w:val="en-US" w:eastAsia="zh-CN"/>
        </w:rPr>
        <w:t>《中国银保监会办公厅关于进一步推动金融服务制造业高质量发展的通知》，进一步推动保险业完善制造业金融服务，更好支持制造业高质量发展。</w:t>
      </w:r>
      <w:r>
        <w:rPr>
          <w:rFonts w:hint="eastAsia" w:ascii="仿宋_GB2312" w:hAnsi="仿宋" w:eastAsia="仿宋_GB2312"/>
          <w:color w:val="000000"/>
          <w:sz w:val="32"/>
          <w:szCs w:val="32"/>
          <w:highlight w:val="none"/>
        </w:rPr>
        <w:t>9月3日，在中国银保监会和北京市政府的指导支持下，由北京市地方金融监督管理局、中国保险行业协会、北京市石景山区政府共同主办</w:t>
      </w:r>
      <w:r>
        <w:rPr>
          <w:rFonts w:hint="eastAsia" w:ascii="仿宋_GB2312" w:hAnsi="仿宋" w:eastAsia="仿宋_GB2312"/>
          <w:color w:val="000000"/>
          <w:sz w:val="32"/>
          <w:szCs w:val="32"/>
          <w:highlight w:val="none"/>
          <w:lang w:val="en-US" w:eastAsia="zh-CN"/>
        </w:rPr>
        <w:t>的</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2022中国保险业高质量发展论坛</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在北京首钢园成功举办，成为服贸会系列金融论坛峰会中首次举办的保险论坛。11月，中国银保监会会同财政部、人民银行对2008年颁布施行的《保险保障基金管理办法》进行修订。实施新版管理办法</w:t>
      </w:r>
      <w:r>
        <w:rPr>
          <w:rFonts w:hint="eastAsia" w:ascii="仿宋_GB2312" w:hAnsi="仿宋" w:eastAsia="仿宋_GB2312"/>
          <w:color w:val="000000"/>
          <w:sz w:val="32"/>
          <w:szCs w:val="32"/>
          <w:highlight w:val="none"/>
          <w:lang w:val="en-US" w:eastAsia="zh-CN"/>
        </w:rPr>
        <w:t>旨在促进保险业稳健经营和高质量发展，更好发挥保险保障基金的积极作用，维护保单持有人合法权益</w:t>
      </w:r>
      <w:r>
        <w:rPr>
          <w:rFonts w:hint="eastAsia" w:ascii="仿宋_GB2312" w:hAnsi="仿宋" w:eastAsia="仿宋_GB2312"/>
          <w:color w:val="000000"/>
          <w:sz w:val="32"/>
          <w:szCs w:val="32"/>
          <w:highlight w:val="none"/>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_GB2312"/>
          <w:sz w:val="32"/>
          <w:szCs w:val="32"/>
          <w:lang w:eastAsia="zh-CN"/>
        </w:rPr>
      </w:pPr>
      <w:r>
        <w:rPr>
          <w:rFonts w:hint="eastAsia" w:ascii="仿宋_GB2312" w:hAnsi="仿宋" w:eastAsia="仿宋_GB2312"/>
          <w:color w:val="000000"/>
          <w:sz w:val="32"/>
          <w:szCs w:val="32"/>
          <w:highlight w:val="none"/>
        </w:rPr>
        <w:t>保险业</w:t>
      </w:r>
      <w:r>
        <w:rPr>
          <w:rFonts w:hint="eastAsia" w:ascii="仿宋_GB2312" w:hAnsi="仿宋" w:eastAsia="仿宋_GB2312"/>
          <w:color w:val="000000"/>
          <w:sz w:val="32"/>
          <w:szCs w:val="32"/>
          <w:highlight w:val="none"/>
          <w:lang w:val="en-US" w:eastAsia="zh-CN"/>
        </w:rPr>
        <w:t>不断</w:t>
      </w:r>
      <w:r>
        <w:rPr>
          <w:rFonts w:hint="eastAsia" w:ascii="仿宋_GB2312" w:hAnsi="仿宋" w:eastAsia="仿宋_GB2312"/>
          <w:color w:val="000000"/>
          <w:sz w:val="32"/>
          <w:szCs w:val="32"/>
          <w:highlight w:val="none"/>
        </w:rPr>
        <w:t>向精细化、科技化、现代化转型发展，</w:t>
      </w:r>
      <w:r>
        <w:rPr>
          <w:rFonts w:hint="eastAsia" w:ascii="仿宋_GB2312" w:hAnsi="仿宋_GB2312" w:eastAsia="仿宋_GB2312" w:cs="仿宋_GB2312"/>
          <w:sz w:val="32"/>
          <w:szCs w:val="32"/>
        </w:rPr>
        <w:t>探索推出更高质量的保险产品和服务。</w:t>
      </w:r>
      <w:r>
        <w:rPr>
          <w:rFonts w:hint="eastAsia" w:ascii="仿宋_GB2312" w:hAnsi="仿宋" w:eastAsia="仿宋_GB2312"/>
          <w:b/>
          <w:bCs/>
          <w:color w:val="000000"/>
          <w:sz w:val="32"/>
          <w:szCs w:val="32"/>
          <w:lang w:val="en-US" w:eastAsia="zh-CN"/>
        </w:rPr>
        <w:t>在保险</w:t>
      </w:r>
      <w:r>
        <w:rPr>
          <w:rFonts w:hint="eastAsia" w:ascii="仿宋_GB2312" w:hAnsi="仿宋" w:eastAsia="仿宋_GB2312"/>
          <w:b/>
          <w:bCs/>
          <w:color w:val="000000"/>
          <w:sz w:val="32"/>
          <w:szCs w:val="32"/>
        </w:rPr>
        <w:t>科技</w:t>
      </w:r>
      <w:r>
        <w:rPr>
          <w:rFonts w:hint="eastAsia" w:ascii="仿宋_GB2312" w:hAnsi="仿宋" w:eastAsia="仿宋_GB2312"/>
          <w:b/>
          <w:bCs/>
          <w:color w:val="000000"/>
          <w:sz w:val="32"/>
          <w:szCs w:val="32"/>
          <w:lang w:val="en-US" w:eastAsia="zh-CN"/>
        </w:rPr>
        <w:t>高质量发展方面</w:t>
      </w:r>
      <w:r>
        <w:rPr>
          <w:rFonts w:hint="eastAsia" w:ascii="仿宋_GB2312" w:hAnsi="仿宋" w:eastAsia="仿宋_GB2312"/>
          <w:b/>
          <w:bCs/>
          <w:color w:val="000000"/>
          <w:sz w:val="32"/>
          <w:szCs w:val="32"/>
        </w:rPr>
        <w:t>，</w:t>
      </w:r>
      <w:r>
        <w:rPr>
          <w:rFonts w:hint="eastAsia" w:ascii="仿宋_GB2312" w:hAnsi="仿宋" w:eastAsia="仿宋_GB2312"/>
          <w:b w:val="0"/>
          <w:bCs w:val="0"/>
          <w:color w:val="000000"/>
          <w:sz w:val="32"/>
          <w:szCs w:val="32"/>
          <w:lang w:val="en-US" w:eastAsia="zh-CN"/>
        </w:rPr>
        <w:t>2022年</w:t>
      </w:r>
      <w:r>
        <w:rPr>
          <w:rFonts w:hint="eastAsia" w:ascii="仿宋_GB2312" w:hAnsi="仿宋" w:eastAsia="仿宋_GB2312"/>
          <w:color w:val="000000"/>
          <w:sz w:val="32"/>
          <w:szCs w:val="32"/>
          <w:highlight w:val="none"/>
        </w:rPr>
        <w:t>1月，中国银保监会</w:t>
      </w:r>
      <w:r>
        <w:rPr>
          <w:rFonts w:hint="eastAsia" w:ascii="仿宋_GB2312" w:hAnsi="仿宋" w:eastAsia="仿宋_GB2312"/>
          <w:color w:val="000000"/>
          <w:sz w:val="32"/>
          <w:szCs w:val="32"/>
          <w:highlight w:val="none"/>
          <w:lang w:val="en-US" w:eastAsia="zh-CN"/>
        </w:rPr>
        <w:t>印发</w:t>
      </w:r>
      <w:r>
        <w:rPr>
          <w:rFonts w:hint="eastAsia" w:ascii="仿宋_GB2312" w:hAnsi="仿宋" w:eastAsia="仿宋_GB2312"/>
          <w:color w:val="000000"/>
          <w:sz w:val="32"/>
          <w:szCs w:val="32"/>
          <w:highlight w:val="none"/>
        </w:rPr>
        <w:t>《关于银行业保险业数字化转型的指导意见》</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重点提出数字化转</w:t>
      </w:r>
      <w:r>
        <w:rPr>
          <w:rFonts w:ascii="仿宋" w:hAnsi="仿宋" w:eastAsia="仿宋" w:cs="Helvetica"/>
          <w:color w:val="333333"/>
          <w:sz w:val="32"/>
          <w:szCs w:val="32"/>
          <w:shd w:val="clear" w:color="auto" w:fill="FFFFFF"/>
        </w:rPr>
        <w:t>型方向</w:t>
      </w:r>
      <w:r>
        <w:rPr>
          <w:rFonts w:hint="eastAsia" w:ascii="仿宋" w:hAnsi="仿宋" w:eastAsia="仿宋" w:cs="Helvetica"/>
          <w:color w:val="333333"/>
          <w:sz w:val="32"/>
          <w:szCs w:val="32"/>
          <w:shd w:val="clear" w:color="auto" w:fill="FFFFFF"/>
          <w:lang w:eastAsia="zh-CN"/>
        </w:rPr>
        <w:t>。</w:t>
      </w:r>
      <w:r>
        <w:rPr>
          <w:rFonts w:hint="eastAsia" w:ascii="仿宋" w:hAnsi="仿宋" w:eastAsia="仿宋"/>
          <w:color w:val="333333"/>
          <w:sz w:val="32"/>
          <w:szCs w:val="32"/>
          <w:shd w:val="clear" w:color="auto" w:fill="FFFFFF"/>
        </w:rPr>
        <w:t>年初，中国人民银行印发实施《金融科技发展规划(2022―2025年)》，明确提出要推动我国金融科技从“立柱架梁”全面迈入“积厚成势”新阶段，力争到2025年实现整体水平与核心竞争力跨越式提升。中国保险行业协会</w:t>
      </w:r>
      <w:r>
        <w:rPr>
          <w:rFonts w:hint="eastAsia" w:ascii="仿宋" w:hAnsi="仿宋" w:eastAsia="仿宋"/>
          <w:color w:val="000000"/>
          <w:sz w:val="32"/>
          <w:szCs w:val="32"/>
        </w:rPr>
        <w:t>认真贯彻落实</w:t>
      </w:r>
      <w:r>
        <w:rPr>
          <w:rFonts w:hint="eastAsia" w:ascii="仿宋" w:hAnsi="仿宋" w:eastAsia="仿宋"/>
          <w:color w:val="000000"/>
          <w:sz w:val="32"/>
          <w:szCs w:val="32"/>
          <w:lang w:val="en-US" w:eastAsia="zh-CN"/>
        </w:rPr>
        <w:t>相关文件</w:t>
      </w:r>
      <w:r>
        <w:rPr>
          <w:rFonts w:hint="eastAsia" w:ascii="仿宋" w:hAnsi="仿宋" w:eastAsia="仿宋"/>
          <w:color w:val="000000"/>
          <w:sz w:val="32"/>
          <w:szCs w:val="32"/>
        </w:rPr>
        <w:t>，以推动落实《保险科技十四五发展规划》为依托，在行业内多角度深度开展保险科技发展情况、数字化转型能力研究、信息技术应用创新等</w:t>
      </w:r>
      <w:r>
        <w:rPr>
          <w:rFonts w:hint="eastAsia" w:ascii="仿宋" w:hAnsi="仿宋" w:eastAsia="仿宋"/>
          <w:color w:val="000000"/>
          <w:sz w:val="32"/>
          <w:szCs w:val="32"/>
          <w:lang w:val="en-US" w:eastAsia="zh-CN"/>
        </w:rPr>
        <w:t>研究</w:t>
      </w:r>
      <w:r>
        <w:rPr>
          <w:rFonts w:hint="eastAsia" w:ascii="仿宋" w:hAnsi="仿宋" w:eastAsia="仿宋"/>
          <w:color w:val="000000"/>
          <w:sz w:val="32"/>
          <w:szCs w:val="32"/>
        </w:rPr>
        <w:t>工作，形成保险行业数字化转型实践、保险行业信创工作开展情况</w:t>
      </w:r>
      <w:r>
        <w:rPr>
          <w:rFonts w:hint="eastAsia" w:ascii="仿宋" w:hAnsi="仿宋" w:eastAsia="仿宋"/>
          <w:color w:val="000000"/>
          <w:sz w:val="32"/>
          <w:szCs w:val="32"/>
          <w:lang w:eastAsia="zh-CN"/>
        </w:rPr>
        <w:t>、</w:t>
      </w:r>
      <w:r>
        <w:rPr>
          <w:rFonts w:hint="eastAsia" w:ascii="仿宋_GB2312" w:hAnsi="仿宋" w:eastAsia="仿宋_GB2312"/>
          <w:sz w:val="32"/>
          <w:szCs w:val="32"/>
        </w:rPr>
        <w:t>区块链网络联盟</w:t>
      </w:r>
      <w:r>
        <w:rPr>
          <w:rFonts w:hint="eastAsia" w:ascii="仿宋_GB2312" w:hAnsi="仿宋" w:eastAsia="仿宋_GB2312"/>
          <w:sz w:val="32"/>
          <w:szCs w:val="32"/>
          <w:lang w:val="en-US" w:eastAsia="zh-CN"/>
        </w:rPr>
        <w:t>及</w:t>
      </w:r>
      <w:r>
        <w:rPr>
          <w:rFonts w:hint="eastAsia" w:ascii="仿宋_GB2312" w:hAnsi="仿宋" w:eastAsia="仿宋_GB2312"/>
          <w:sz w:val="32"/>
          <w:szCs w:val="32"/>
        </w:rPr>
        <w:t>隐私计算等技术在行业应用</w:t>
      </w:r>
      <w:r>
        <w:rPr>
          <w:rFonts w:hint="eastAsia" w:ascii="仿宋" w:hAnsi="仿宋" w:eastAsia="仿宋"/>
          <w:color w:val="000000"/>
          <w:sz w:val="32"/>
          <w:szCs w:val="32"/>
        </w:rPr>
        <w:t>等多项研究</w:t>
      </w:r>
      <w:r>
        <w:rPr>
          <w:rFonts w:hint="eastAsia" w:ascii="仿宋" w:hAnsi="仿宋" w:eastAsia="仿宋"/>
          <w:color w:val="000000"/>
          <w:sz w:val="32"/>
          <w:szCs w:val="32"/>
          <w:lang w:val="en-US" w:eastAsia="zh-CN"/>
        </w:rPr>
        <w:t>成果</w:t>
      </w:r>
      <w:r>
        <w:rPr>
          <w:rFonts w:hint="eastAsia" w:ascii="仿宋" w:hAnsi="仿宋" w:eastAsia="仿宋"/>
          <w:color w:val="000000"/>
          <w:sz w:val="32"/>
          <w:szCs w:val="32"/>
          <w:lang w:eastAsia="zh-CN"/>
        </w:rPr>
        <w:t>，</w:t>
      </w:r>
      <w:r>
        <w:rPr>
          <w:rFonts w:hint="eastAsia" w:ascii="仿宋_GB2312" w:hAnsi="仿宋" w:eastAsia="仿宋_GB2312"/>
          <w:sz w:val="32"/>
          <w:szCs w:val="32"/>
        </w:rPr>
        <w:t>推动核心业务系统全面分布式信创转型评价交流活动，</w:t>
      </w:r>
      <w:r>
        <w:rPr>
          <w:rFonts w:hint="eastAsia" w:ascii="仿宋" w:hAnsi="仿宋" w:eastAsia="仿宋"/>
          <w:color w:val="000000"/>
          <w:sz w:val="32"/>
          <w:szCs w:val="32"/>
        </w:rPr>
        <w:t>为行业保险科技和数字化转型稳妥有序发展提供科学参考和借鉴。</w:t>
      </w:r>
      <w:r>
        <w:rPr>
          <w:rFonts w:hint="eastAsia" w:ascii="仿宋" w:hAnsi="仿宋" w:eastAsia="仿宋"/>
          <w:color w:val="000000"/>
          <w:sz w:val="32"/>
          <w:szCs w:val="32"/>
          <w:lang w:val="en-US" w:eastAsia="zh-CN"/>
        </w:rPr>
        <w:t>保险业在不断提升自身科技能力的同时，切实服务国家科技自主创新战略，</w:t>
      </w:r>
      <w:r>
        <w:rPr>
          <w:rFonts w:hint="eastAsia" w:ascii="仿宋_GB2312" w:hAnsi="仿宋" w:eastAsia="仿宋_GB2312"/>
          <w:color w:val="000000"/>
          <w:sz w:val="32"/>
          <w:szCs w:val="32"/>
        </w:rPr>
        <w:t>持续提高首台套、新材料、首版次等科技保险覆盖面，促进创新链和产业链、资金链、政策链对接融合，2</w:t>
      </w:r>
      <w:r>
        <w:rPr>
          <w:rFonts w:ascii="仿宋_GB2312" w:hAnsi="仿宋" w:eastAsia="仿宋_GB2312"/>
          <w:color w:val="000000"/>
          <w:sz w:val="32"/>
          <w:szCs w:val="32"/>
        </w:rPr>
        <w:t>022</w:t>
      </w:r>
      <w:r>
        <w:rPr>
          <w:rFonts w:hint="eastAsia" w:ascii="仿宋_GB2312" w:hAnsi="仿宋" w:eastAsia="仿宋_GB2312"/>
          <w:color w:val="000000"/>
          <w:sz w:val="32"/>
          <w:szCs w:val="32"/>
        </w:rPr>
        <w:t>年上半年提供科技方面保险保障</w:t>
      </w:r>
      <w:r>
        <w:rPr>
          <w:rFonts w:ascii="仿宋_GB2312" w:hAnsi="仿宋" w:eastAsia="仿宋_GB2312"/>
          <w:color w:val="000000"/>
          <w:sz w:val="32"/>
          <w:szCs w:val="32"/>
        </w:rPr>
        <w:t>2万亿元。</w:t>
      </w:r>
      <w:r>
        <w:rPr>
          <w:rFonts w:hint="eastAsia" w:ascii="仿宋_GB2312" w:hAnsi="仿宋" w:eastAsia="仿宋_GB2312"/>
          <w:b/>
          <w:bCs/>
          <w:color w:val="000000"/>
          <w:sz w:val="32"/>
          <w:szCs w:val="32"/>
          <w:lang w:val="en-US" w:eastAsia="zh-CN"/>
        </w:rPr>
        <w:t>在</w:t>
      </w:r>
      <w:r>
        <w:rPr>
          <w:rFonts w:hint="eastAsia" w:ascii="仿宋_GB2312" w:hAnsi="仿宋" w:eastAsia="仿宋_GB2312"/>
          <w:b/>
          <w:bCs/>
          <w:color w:val="000000"/>
          <w:sz w:val="32"/>
          <w:szCs w:val="32"/>
        </w:rPr>
        <w:t>服务新市民</w:t>
      </w:r>
      <w:r>
        <w:rPr>
          <w:rFonts w:hint="eastAsia" w:ascii="仿宋_GB2312" w:hAnsi="仿宋" w:eastAsia="仿宋_GB2312"/>
          <w:b/>
          <w:bCs/>
          <w:color w:val="000000"/>
          <w:sz w:val="32"/>
          <w:szCs w:val="32"/>
          <w:lang w:eastAsia="zh-CN"/>
        </w:rPr>
        <w:t>、</w:t>
      </w:r>
      <w:r>
        <w:rPr>
          <w:rFonts w:hint="eastAsia" w:ascii="仿宋_GB2312" w:hAnsi="仿宋" w:eastAsia="仿宋_GB2312"/>
          <w:b/>
          <w:bCs/>
          <w:color w:val="000000"/>
          <w:sz w:val="32"/>
          <w:szCs w:val="32"/>
        </w:rPr>
        <w:t>社会治理</w:t>
      </w:r>
      <w:r>
        <w:rPr>
          <w:rFonts w:hint="eastAsia" w:ascii="仿宋_GB2312" w:hAnsi="仿宋" w:eastAsia="仿宋_GB2312"/>
          <w:b/>
          <w:bCs/>
          <w:color w:val="000000"/>
          <w:sz w:val="32"/>
          <w:szCs w:val="32"/>
          <w:lang w:val="en-US" w:eastAsia="zh-CN"/>
        </w:rPr>
        <w:t>和保障国家重大活动方面，</w:t>
      </w:r>
      <w:r>
        <w:rPr>
          <w:rFonts w:hint="eastAsia" w:ascii="仿宋_GB2312" w:hAnsi="仿宋" w:eastAsia="仿宋_GB2312"/>
          <w:color w:val="000000"/>
          <w:sz w:val="32"/>
          <w:szCs w:val="32"/>
        </w:rPr>
        <w:t>落实</w:t>
      </w:r>
      <w:r>
        <w:rPr>
          <w:rFonts w:hint="eastAsia" w:ascii="仿宋_GB2312" w:hAnsi="仿宋" w:eastAsia="仿宋_GB2312"/>
          <w:color w:val="000000"/>
          <w:sz w:val="32"/>
          <w:szCs w:val="32"/>
          <w:lang w:val="en-US" w:eastAsia="zh-CN"/>
        </w:rPr>
        <w:t>中国</w:t>
      </w:r>
      <w:r>
        <w:rPr>
          <w:rFonts w:hint="eastAsia" w:ascii="仿宋_GB2312" w:hAnsi="仿宋" w:eastAsia="仿宋_GB2312"/>
          <w:color w:val="000000"/>
          <w:sz w:val="32"/>
          <w:szCs w:val="32"/>
        </w:rPr>
        <w:t>银保监会关于加强新市民金融服务工作有关要求，2</w:t>
      </w:r>
      <w:r>
        <w:rPr>
          <w:rFonts w:ascii="仿宋_GB2312" w:hAnsi="仿宋" w:eastAsia="仿宋_GB2312"/>
          <w:color w:val="000000"/>
          <w:sz w:val="32"/>
          <w:szCs w:val="32"/>
        </w:rPr>
        <w:t>022</w:t>
      </w:r>
      <w:r>
        <w:rPr>
          <w:rFonts w:hint="eastAsia" w:ascii="仿宋_GB2312" w:hAnsi="仿宋" w:eastAsia="仿宋_GB2312"/>
          <w:color w:val="000000"/>
          <w:sz w:val="32"/>
          <w:szCs w:val="32"/>
        </w:rPr>
        <w:t>年</w:t>
      </w:r>
      <w:r>
        <w:rPr>
          <w:rFonts w:hint="eastAsia" w:ascii="仿宋_GB2312" w:hAnsi="仿宋_GB2312" w:eastAsia="仿宋_GB2312" w:cs="仿宋_GB2312"/>
          <w:sz w:val="32"/>
          <w:szCs w:val="32"/>
        </w:rPr>
        <w:t>上半年行业提供新市民方面保险保障42.2万亿元。</w:t>
      </w:r>
      <w:r>
        <w:rPr>
          <w:rFonts w:hint="eastAsia" w:ascii="仿宋_GB2312" w:hAnsi="仿宋" w:eastAsia="仿宋_GB2312"/>
          <w:color w:val="000000"/>
          <w:sz w:val="32"/>
          <w:szCs w:val="32"/>
        </w:rPr>
        <w:t>环境污染责任保险已在31个省（自治区、直辖市）开展，覆盖冶金、制药、造纸、火电等多个环境高风险行业，二级以上医院医疗责任保险参保率超过90%，安全生产责任保险在八大高危行业领域迅速开展，2</w:t>
      </w:r>
      <w:r>
        <w:rPr>
          <w:rFonts w:ascii="仿宋_GB2312" w:hAnsi="仿宋" w:eastAsia="仿宋_GB2312"/>
          <w:color w:val="000000"/>
          <w:sz w:val="32"/>
          <w:szCs w:val="32"/>
        </w:rPr>
        <w:t>022</w:t>
      </w:r>
      <w:r>
        <w:rPr>
          <w:rFonts w:hint="eastAsia" w:ascii="仿宋_GB2312" w:hAnsi="仿宋" w:eastAsia="仿宋_GB2312"/>
          <w:color w:val="000000"/>
          <w:sz w:val="32"/>
          <w:szCs w:val="32"/>
        </w:rPr>
        <w:t>年上半年对</w:t>
      </w:r>
      <w:r>
        <w:rPr>
          <w:rFonts w:ascii="仿宋_GB2312" w:hAnsi="仿宋" w:eastAsia="仿宋_GB2312"/>
          <w:color w:val="000000"/>
          <w:sz w:val="32"/>
          <w:szCs w:val="32"/>
        </w:rPr>
        <w:t>9.8万家企业进行隐患排查，协助整改安全隐患18.7万项</w:t>
      </w:r>
      <w:r>
        <w:rPr>
          <w:rFonts w:hint="eastAsia" w:ascii="仿宋_GB2312" w:hAnsi="仿宋" w:eastAsia="仿宋_GB2312"/>
          <w:color w:val="000000"/>
          <w:sz w:val="32"/>
          <w:szCs w:val="32"/>
        </w:rPr>
        <w:t>，</w:t>
      </w:r>
      <w:r>
        <w:rPr>
          <w:rFonts w:ascii="仿宋_GB2312" w:hAnsi="仿宋" w:eastAsia="仿宋_GB2312"/>
          <w:color w:val="000000"/>
          <w:sz w:val="32"/>
          <w:szCs w:val="32"/>
        </w:rPr>
        <w:t>开展线上线下安全生产培训2万余次，覆盖了10余万家企业，参加人次超过200万。</w:t>
      </w:r>
      <w:r>
        <w:rPr>
          <w:rFonts w:hint="eastAsia" w:ascii="仿宋_GB2312" w:hAnsi="仿宋" w:eastAsia="仿宋_GB2312"/>
          <w:color w:val="000000"/>
          <w:sz w:val="32"/>
          <w:szCs w:val="32"/>
        </w:rPr>
        <w:t>校方责任保险、承运人责任保险、旅行社责任保险等基本实现相关领域全覆盖。先后为2022年北京冬奥会和冬残奥会提供保险保障，助力重大赛事活动成功举办。</w:t>
      </w:r>
      <w:r>
        <w:rPr>
          <w:rFonts w:hint="eastAsia" w:ascii="仿宋_GB2312" w:hAnsi="仿宋" w:eastAsia="仿宋_GB2312"/>
          <w:b/>
          <w:bCs/>
          <w:color w:val="000000"/>
          <w:sz w:val="32"/>
          <w:szCs w:val="32"/>
          <w:lang w:val="en-US" w:eastAsia="zh-CN"/>
        </w:rPr>
        <w:t>在保险</w:t>
      </w:r>
      <w:r>
        <w:rPr>
          <w:rFonts w:hint="eastAsia" w:ascii="仿宋_GB2312" w:hAnsi="仿宋" w:eastAsia="仿宋_GB2312"/>
          <w:b/>
          <w:bCs/>
          <w:color w:val="000000"/>
          <w:sz w:val="32"/>
          <w:szCs w:val="32"/>
        </w:rPr>
        <w:t>资金</w:t>
      </w:r>
      <w:r>
        <w:rPr>
          <w:rFonts w:hint="eastAsia" w:ascii="仿宋_GB2312" w:hAnsi="仿宋" w:eastAsia="仿宋_GB2312"/>
          <w:b/>
          <w:bCs/>
          <w:color w:val="000000"/>
          <w:sz w:val="32"/>
          <w:szCs w:val="32"/>
          <w:lang w:val="en-US" w:eastAsia="zh-CN"/>
        </w:rPr>
        <w:t>运用方面，</w:t>
      </w:r>
      <w:r>
        <w:rPr>
          <w:rFonts w:hint="eastAsia" w:ascii="仿宋_GB2312" w:hAnsi="仿宋" w:eastAsia="仿宋_GB2312"/>
          <w:color w:val="000000"/>
          <w:sz w:val="32"/>
          <w:szCs w:val="32"/>
          <w:lang w:val="en-US" w:eastAsia="zh-CN"/>
        </w:rPr>
        <w:t>2022年</w:t>
      </w:r>
      <w:r>
        <w:rPr>
          <w:rFonts w:hint="eastAsia" w:ascii="仿宋_GB2312" w:hAnsi="仿宋" w:eastAsia="仿宋_GB2312"/>
          <w:color w:val="000000"/>
          <w:sz w:val="32"/>
          <w:szCs w:val="32"/>
        </w:rPr>
        <w:t>8月，中国银保监会印发《保险资产管理公司管理规定》，为保险资产管理公司市场化运作和差异化发展提供了空间，有利于引导和促进保险资产管理公司规范化运作，更好满足保险资金等长期资金的保值增值需求，为资本市场平稳健康运行和实体经济高质量发展培育更多稳健型的机构投资者。</w:t>
      </w:r>
      <w:r>
        <w:rPr>
          <w:rFonts w:hint="eastAsia" w:ascii="仿宋" w:hAnsi="仿宋" w:eastAsia="仿宋"/>
          <w:color w:val="333333"/>
          <w:sz w:val="32"/>
          <w:szCs w:val="32"/>
        </w:rPr>
        <w:t>截至</w:t>
      </w:r>
      <w:r>
        <w:rPr>
          <w:rFonts w:hint="eastAsia" w:ascii="仿宋" w:hAnsi="仿宋" w:eastAsia="仿宋"/>
          <w:color w:val="333333"/>
          <w:sz w:val="32"/>
          <w:szCs w:val="32"/>
          <w:lang w:val="en-US" w:eastAsia="zh-CN"/>
        </w:rPr>
        <w:t>12月</w:t>
      </w:r>
      <w:r>
        <w:rPr>
          <w:rFonts w:hint="eastAsia" w:ascii="仿宋" w:hAnsi="仿宋" w:eastAsia="仿宋"/>
          <w:color w:val="333333"/>
          <w:sz w:val="32"/>
          <w:szCs w:val="32"/>
        </w:rPr>
        <w:t>，全国共有保险资产管理公司3</w:t>
      </w:r>
      <w:r>
        <w:rPr>
          <w:rFonts w:ascii="仿宋" w:hAnsi="仿宋" w:eastAsia="仿宋"/>
          <w:color w:val="333333"/>
          <w:sz w:val="32"/>
          <w:szCs w:val="32"/>
        </w:rPr>
        <w:t>3家，受托管理保险业70%以上的资金</w:t>
      </w:r>
      <w:r>
        <w:rPr>
          <w:rFonts w:hint="eastAsia" w:ascii="仿宋" w:hAnsi="仿宋" w:eastAsia="仿宋"/>
          <w:color w:val="333333"/>
          <w:sz w:val="32"/>
          <w:szCs w:val="32"/>
        </w:rPr>
        <w:t>，</w:t>
      </w:r>
      <w:r>
        <w:rPr>
          <w:rFonts w:ascii="仿宋" w:hAnsi="仿宋" w:eastAsia="仿宋"/>
          <w:color w:val="333333"/>
          <w:sz w:val="32"/>
          <w:szCs w:val="32"/>
        </w:rPr>
        <w:t>长期资金管理实力不断增强，成为长期资金服务实体经济的重要工具。</w:t>
      </w:r>
      <w:r>
        <w:rPr>
          <w:rFonts w:hint="eastAsia" w:ascii="仿宋" w:hAnsi="仿宋" w:eastAsia="仿宋"/>
          <w:color w:val="333333"/>
          <w:sz w:val="32"/>
          <w:szCs w:val="32"/>
        </w:rPr>
        <w:t>保险资金通过债券、股票、股权、保险资管产品等方式，为实体经济提供中长期资金支持，资金规模由2012年的4万亿元增加至2022年6月末的21.85万亿元，累计增长4.46倍。保险资金参与京津冀协同发展投资5.88万亿元，参与长江经济带建设投资5.59万亿元，参与粤港澳大湾区建设投资2.10万亿元</w:t>
      </w:r>
      <w:r>
        <w:rPr>
          <w:rFonts w:hint="eastAsia" w:ascii="仿宋" w:hAnsi="仿宋" w:eastAsia="仿宋"/>
          <w:color w:val="333333"/>
          <w:sz w:val="32"/>
          <w:szCs w:val="32"/>
          <w:lang w:eastAsia="zh-CN"/>
        </w:rPr>
        <w:t>，</w:t>
      </w:r>
      <w:r>
        <w:rPr>
          <w:rFonts w:hint="eastAsia" w:ascii="仿宋" w:hAnsi="仿宋" w:eastAsia="仿宋"/>
          <w:color w:val="333333"/>
          <w:sz w:val="32"/>
          <w:szCs w:val="32"/>
        </w:rPr>
        <w:t>参与养老社区项目59个，计划投资规模1412.16亿元。此外，保险资金服务制造业、战略性新兴产业等投资余额2.19万亿元，支持绿色发展产业投资余额1.22万亿元。</w:t>
      </w:r>
      <w:r>
        <w:rPr>
          <w:rFonts w:hint="eastAsia" w:ascii="仿宋" w:hAnsi="仿宋" w:eastAsia="仿宋"/>
          <w:b/>
          <w:bCs/>
          <w:color w:val="333333"/>
          <w:sz w:val="32"/>
          <w:szCs w:val="32"/>
          <w:lang w:val="en-US" w:eastAsia="zh-CN"/>
        </w:rPr>
        <w:t>在服务</w:t>
      </w:r>
      <w:r>
        <w:rPr>
          <w:rFonts w:hint="eastAsia" w:ascii="仿宋_GB2312" w:hAnsi="仿宋" w:eastAsia="仿宋_GB2312"/>
          <w:b/>
          <w:bCs/>
          <w:color w:val="000000"/>
          <w:sz w:val="32"/>
          <w:szCs w:val="32"/>
          <w:lang w:val="en-US" w:eastAsia="zh-CN"/>
        </w:rPr>
        <w:t>对外开放方面，</w:t>
      </w:r>
      <w:r>
        <w:rPr>
          <w:rFonts w:hint="eastAsia" w:ascii="仿宋" w:hAnsi="仿宋" w:eastAsia="仿宋"/>
          <w:color w:val="333333"/>
          <w:sz w:val="32"/>
          <w:szCs w:val="32"/>
          <w:shd w:val="clear" w:color="auto" w:fill="FFFFFF"/>
        </w:rPr>
        <w:t>党的二十大报告</w:t>
      </w:r>
      <w:r>
        <w:rPr>
          <w:rFonts w:hint="eastAsia" w:ascii="仿宋" w:hAnsi="仿宋" w:eastAsia="仿宋"/>
          <w:color w:val="333333"/>
          <w:sz w:val="32"/>
          <w:szCs w:val="32"/>
          <w:shd w:val="clear" w:color="auto" w:fill="FFFFFF"/>
          <w:lang w:val="en-US" w:eastAsia="zh-CN"/>
        </w:rPr>
        <w:t>指</w:t>
      </w:r>
      <w:r>
        <w:rPr>
          <w:rFonts w:hint="eastAsia" w:ascii="仿宋" w:hAnsi="仿宋" w:eastAsia="仿宋"/>
          <w:color w:val="333333"/>
          <w:sz w:val="32"/>
          <w:szCs w:val="32"/>
          <w:shd w:val="clear" w:color="auto" w:fill="FFFFFF"/>
        </w:rPr>
        <w:t>出“推进高水平对外开放”“稳步扩大规则、规制、管理、标准等制度型开放”</w:t>
      </w:r>
      <w:r>
        <w:rPr>
          <w:rFonts w:hint="eastAsia" w:ascii="仿宋" w:hAnsi="仿宋" w:eastAsia="仿宋"/>
          <w:color w:val="333333"/>
          <w:sz w:val="32"/>
          <w:szCs w:val="32"/>
          <w:shd w:val="clear" w:color="auto" w:fill="FFFFFF"/>
          <w:lang w:eastAsia="zh-CN"/>
        </w:rPr>
        <w:t>，</w:t>
      </w:r>
      <w:r>
        <w:rPr>
          <w:rFonts w:hint="eastAsia" w:ascii="仿宋" w:hAnsi="仿宋" w:eastAsia="仿宋"/>
          <w:color w:val="333333"/>
          <w:sz w:val="32"/>
          <w:szCs w:val="32"/>
          <w:shd w:val="clear" w:color="auto" w:fill="FFFFFF"/>
        </w:rPr>
        <w:t>保险业以制度型开放</w:t>
      </w:r>
      <w:r>
        <w:rPr>
          <w:rFonts w:hint="eastAsia" w:ascii="仿宋" w:hAnsi="仿宋" w:eastAsia="仿宋"/>
          <w:color w:val="333333"/>
          <w:sz w:val="32"/>
          <w:szCs w:val="32"/>
          <w:shd w:val="clear" w:color="auto" w:fill="FFFFFF"/>
          <w:lang w:val="en-US" w:eastAsia="zh-CN"/>
        </w:rPr>
        <w:t>服务</w:t>
      </w:r>
      <w:r>
        <w:rPr>
          <w:rFonts w:hint="eastAsia" w:ascii="仿宋" w:hAnsi="仿宋" w:eastAsia="仿宋"/>
          <w:color w:val="333333"/>
          <w:sz w:val="32"/>
          <w:szCs w:val="32"/>
          <w:shd w:val="clear" w:color="auto" w:fill="FFFFFF"/>
        </w:rPr>
        <w:t>高水平</w:t>
      </w:r>
      <w:r>
        <w:rPr>
          <w:rFonts w:hint="eastAsia" w:ascii="仿宋" w:hAnsi="仿宋" w:eastAsia="仿宋"/>
          <w:color w:val="333333"/>
          <w:sz w:val="32"/>
          <w:szCs w:val="32"/>
          <w:shd w:val="clear" w:color="auto" w:fill="FFFFFF"/>
          <w:lang w:val="en-US" w:eastAsia="zh-CN"/>
        </w:rPr>
        <w:t>对外</w:t>
      </w:r>
      <w:r>
        <w:rPr>
          <w:rFonts w:hint="eastAsia" w:ascii="仿宋" w:hAnsi="仿宋" w:eastAsia="仿宋"/>
          <w:color w:val="333333"/>
          <w:sz w:val="32"/>
          <w:szCs w:val="32"/>
          <w:shd w:val="clear" w:color="auto" w:fill="FFFFFF"/>
        </w:rPr>
        <w:t>开放。</w:t>
      </w:r>
      <w:r>
        <w:rPr>
          <w:rFonts w:hint="eastAsia" w:ascii="仿宋" w:hAnsi="仿宋" w:eastAsia="仿宋"/>
          <w:color w:val="404040"/>
          <w:sz w:val="32"/>
          <w:szCs w:val="32"/>
          <w:shd w:val="clear" w:color="auto" w:fill="FFFFFF"/>
        </w:rPr>
        <w:t>中国保险行业协会数据显示，</w:t>
      </w:r>
      <w:r>
        <w:rPr>
          <w:rFonts w:hint="eastAsia" w:ascii="仿宋" w:hAnsi="仿宋" w:eastAsia="仿宋"/>
          <w:color w:val="333333"/>
          <w:sz w:val="32"/>
          <w:szCs w:val="32"/>
          <w:shd w:val="clear" w:color="auto" w:fill="FFFFFF"/>
        </w:rPr>
        <w:t>2012年到2021年，外资保险公司市场份额从3.5%增长到7.8%。在北京、上海等地区，外资保险公司市场份额已达到20%。</w:t>
      </w:r>
      <w:r>
        <w:rPr>
          <w:rFonts w:hint="eastAsia" w:ascii="仿宋" w:hAnsi="仿宋" w:eastAsia="仿宋"/>
          <w:sz w:val="32"/>
          <w:szCs w:val="32"/>
        </w:rPr>
        <w:t>截至</w:t>
      </w:r>
      <w:r>
        <w:rPr>
          <w:rFonts w:hint="eastAsia" w:ascii="仿宋" w:hAnsi="仿宋" w:eastAsia="仿宋"/>
          <w:sz w:val="32"/>
          <w:szCs w:val="32"/>
          <w:lang w:val="en-US" w:eastAsia="zh-CN"/>
        </w:rPr>
        <w:t>2022年</w:t>
      </w:r>
      <w:r>
        <w:rPr>
          <w:rFonts w:hint="eastAsia" w:ascii="仿宋" w:hAnsi="仿宋" w:eastAsia="仿宋"/>
          <w:sz w:val="32"/>
          <w:szCs w:val="32"/>
        </w:rPr>
        <w:t>9月末，境外保险机构在华共设立68家外资保险机构和80家代表处，外资保险公司总资产达到2.22万亿元。</w:t>
      </w:r>
      <w:r>
        <w:rPr>
          <w:rFonts w:hint="eastAsia" w:ascii="仿宋_GB2312" w:hAnsi="仿宋" w:eastAsia="仿宋_GB2312"/>
          <w:color w:val="000000"/>
          <w:sz w:val="32"/>
          <w:szCs w:val="32"/>
          <w:highlight w:val="none"/>
        </w:rPr>
        <w:t>2022年上半年，中国“一带一路”再保险共同体成员公司累计为164个国家和地区的6600项次中国海外利益项目提供风险保障，合计保障境外资产总规模逾2.1万亿元</w:t>
      </w:r>
      <w:r>
        <w:rPr>
          <w:rFonts w:hint="eastAsia" w:ascii="仿宋_GB2312" w:hAnsi="仿宋" w:eastAsia="仿宋_GB2312"/>
          <w:color w:val="000000"/>
          <w:sz w:val="32"/>
          <w:szCs w:val="32"/>
          <w:highlight w:val="none"/>
          <w:lang w:eastAsia="zh-CN"/>
        </w:rPr>
        <w:t>。</w:t>
      </w:r>
    </w:p>
    <w:p>
      <w:pPr>
        <w:shd w:val="clear" w:color="auto" w:fill="FEFEFE"/>
        <w:spacing w:line="640" w:lineRule="atLeast"/>
        <w:ind w:firstLine="643" w:firstLineChars="200"/>
        <w:rPr>
          <w:rFonts w:hint="eastAsia" w:ascii="黑体" w:hAnsi="黑体" w:eastAsia="黑体" w:cs="宋体"/>
          <w:b/>
          <w:color w:val="000000"/>
          <w:kern w:val="0"/>
          <w:sz w:val="32"/>
          <w:szCs w:val="32"/>
          <w:highlight w:val="none"/>
          <w:lang w:eastAsia="zh-CN"/>
        </w:rPr>
      </w:pPr>
      <w:r>
        <w:rPr>
          <w:rFonts w:hint="eastAsia" w:ascii="黑体" w:hAnsi="黑体" w:eastAsia="黑体" w:cs="宋体"/>
          <w:b/>
          <w:color w:val="000000"/>
          <w:kern w:val="0"/>
          <w:sz w:val="32"/>
          <w:szCs w:val="32"/>
          <w:highlight w:val="none"/>
          <w:lang w:val="en-US" w:eastAsia="zh-CN"/>
        </w:rPr>
        <w:t>三、</w:t>
      </w:r>
      <w:r>
        <w:rPr>
          <w:rFonts w:hint="eastAsia" w:ascii="黑体" w:hAnsi="黑体" w:eastAsia="黑体" w:cs="宋体"/>
          <w:b/>
          <w:color w:val="000000"/>
          <w:kern w:val="0"/>
          <w:sz w:val="32"/>
          <w:szCs w:val="32"/>
          <w:highlight w:val="none"/>
          <w:lang w:eastAsia="zh-CN"/>
        </w:rPr>
        <w:t>2022年，保险业</w:t>
      </w:r>
      <w:r>
        <w:rPr>
          <w:rFonts w:hint="eastAsia" w:ascii="黑体" w:hAnsi="黑体" w:eastAsia="黑体" w:cs="宋体"/>
          <w:b/>
          <w:color w:val="000000"/>
          <w:kern w:val="0"/>
          <w:sz w:val="32"/>
          <w:szCs w:val="32"/>
          <w:highlight w:val="none"/>
          <w:lang w:val="en-US" w:eastAsia="zh-CN"/>
        </w:rPr>
        <w:t>积极</w:t>
      </w:r>
      <w:r>
        <w:rPr>
          <w:rFonts w:hint="eastAsia" w:ascii="黑体" w:hAnsi="黑体" w:eastAsia="黑体" w:cs="宋体"/>
          <w:b/>
          <w:color w:val="000000"/>
          <w:kern w:val="0"/>
          <w:sz w:val="32"/>
          <w:szCs w:val="32"/>
          <w:highlight w:val="none"/>
          <w:lang w:eastAsia="zh-CN"/>
        </w:rPr>
        <w:t>面对新冠肺炎疫情带来的风险挑战，聚焦统筹疫情防控和经济社会发展，坚定信心，主动作为，在保市场主体、保就业、保民生等方面充分发挥保险保障作用，为防控疫情、保通保畅、保障民生、复工达产等提供了重要支持。</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 w:eastAsia="仿宋_GB2312" w:cs="宋体"/>
          <w:b/>
          <w:color w:val="000000"/>
          <w:kern w:val="0"/>
          <w:sz w:val="32"/>
          <w:szCs w:val="32"/>
          <w:highlight w:val="none"/>
          <w:lang w:val="en-US" w:eastAsia="zh-CN" w:bidi="ar-SA"/>
        </w:rPr>
        <w:t>概述：</w:t>
      </w:r>
      <w:r>
        <w:rPr>
          <w:rFonts w:hint="eastAsia" w:ascii="仿宋_GB2312" w:hAnsi="仿宋" w:eastAsia="仿宋_GB2312" w:cs="宋体"/>
          <w:b w:val="0"/>
          <w:bCs/>
          <w:color w:val="000000"/>
          <w:kern w:val="0"/>
          <w:sz w:val="32"/>
          <w:szCs w:val="32"/>
          <w:highlight w:val="none"/>
          <w:lang w:val="en-US" w:eastAsia="zh-CN" w:bidi="ar-SA"/>
        </w:rPr>
        <w:t>2022年</w:t>
      </w:r>
      <w:r>
        <w:rPr>
          <w:rFonts w:hint="eastAsia" w:ascii="仿宋_GB2312" w:hAnsi="仿宋_GB2312" w:eastAsia="仿宋_GB2312" w:cs="仿宋_GB2312"/>
          <w:sz w:val="32"/>
          <w:szCs w:val="32"/>
        </w:rPr>
        <w:t>4月11日，国务院应对新型冠状病毒感染肺炎疫情联防联控机制印发《关于切实做好货运物流保通保畅工作的通知》，部署切实做好货运物流保通保畅有关工作，要求各地区、各部门全力保障货运物流特别是医疗防控物资、生活必需品、政府储备物资、邮政快递等民生物资和农业、能源、原材料等重要生产物资的运输畅通。4月15日，中国银保监会办公厅印发《关于金融支持货运物流保通保畅工作的通知》，组织保险行业深入贯彻落实党中央、国务院决策部署，对各银保监局和银行保险机构支持货运物流保通保畅工作提出具体要求，主要包括提高思想认识、加大资金支持、帮扶重点群体、提升服务效率、创新担保方式、加强保险保障、确保资金安全、强化督促落实等八个方面。</w:t>
      </w:r>
      <w:r>
        <w:rPr>
          <w:rFonts w:hint="eastAsia" w:ascii="仿宋_GB2312" w:hAnsi="仿宋" w:eastAsia="仿宋_GB2312"/>
          <w:color w:val="333333"/>
          <w:sz w:val="32"/>
          <w:szCs w:val="32"/>
        </w:rPr>
        <w:t>4月18日，</w:t>
      </w:r>
      <w:r>
        <w:rPr>
          <w:rFonts w:hint="eastAsia" w:ascii="仿宋_GB2312" w:hAnsi="仿宋" w:eastAsia="仿宋_GB2312"/>
          <w:color w:val="333333"/>
          <w:sz w:val="32"/>
          <w:szCs w:val="32"/>
          <w:lang w:val="en-US" w:eastAsia="zh-CN"/>
        </w:rPr>
        <w:t>中国</w:t>
      </w:r>
      <w:r>
        <w:rPr>
          <w:rFonts w:hint="eastAsia" w:ascii="仿宋_GB2312" w:hAnsi="仿宋" w:eastAsia="仿宋_GB2312"/>
          <w:color w:val="333333"/>
          <w:sz w:val="32"/>
          <w:szCs w:val="32"/>
        </w:rPr>
        <w:t>银保监会党委作出部署，要求银保监会系统认真学习贯彻习近平总书记重要指示批示精神，坚决落实全国保障物流畅通促进产业链供应链稳定电视电话会议要求。</w:t>
      </w:r>
      <w:r>
        <w:rPr>
          <w:rFonts w:hint="eastAsia" w:ascii="仿宋_GB2312" w:hAnsi="仿宋_GB2312" w:eastAsia="仿宋_GB2312" w:cs="仿宋_GB2312"/>
          <w:sz w:val="32"/>
          <w:szCs w:val="32"/>
        </w:rPr>
        <w:t>4月28日，中国银保监会办公厅印发《关于做好当前汽车保险相关工作支持疫情防控货运畅通的通知》。6月2日，中国银保监会印发《关于进一步做好受疫情影响困难行业企业等金融服务的通知》，</w:t>
      </w:r>
      <w:r>
        <w:rPr>
          <w:rFonts w:hint="eastAsia" w:ascii="仿宋_GB2312" w:hAnsi="仿宋" w:eastAsia="仿宋_GB2312" w:cs="宋体"/>
          <w:color w:val="333333"/>
          <w:sz w:val="32"/>
          <w:szCs w:val="32"/>
        </w:rPr>
        <w:t>引导银行保险机构进一步加强受新冠肺炎疫情影响严重行业企业等的金融支持。要求各级监管部门、银行保险机构和相关行业协会要坚持金融服务的普惠性、人民性，切实增强社会责任感，采取针对性的有效纾困措施，支持暂时遇困行业企业渡过难关、恢复发展。6月3</w:t>
      </w:r>
      <w:r>
        <w:rPr>
          <w:rFonts w:ascii="仿宋_GB2312" w:hAnsi="仿宋" w:eastAsia="仿宋_GB2312" w:cs="宋体"/>
          <w:color w:val="333333"/>
          <w:sz w:val="32"/>
          <w:szCs w:val="32"/>
        </w:rPr>
        <w:t>0</w:t>
      </w:r>
      <w:r>
        <w:rPr>
          <w:rFonts w:hint="eastAsia" w:ascii="仿宋_GB2312" w:hAnsi="仿宋" w:eastAsia="仿宋_GB2312" w:cs="宋体"/>
          <w:color w:val="333333"/>
          <w:sz w:val="32"/>
          <w:szCs w:val="32"/>
        </w:rPr>
        <w:t>日，国家发改委等三部委印发</w:t>
      </w:r>
      <w:r>
        <w:rPr>
          <w:rFonts w:hint="eastAsia" w:ascii="仿宋_GB2312" w:hAnsi="仿宋_GB2312" w:eastAsia="仿宋_GB2312" w:cs="仿宋_GB2312"/>
          <w:sz w:val="32"/>
          <w:szCs w:val="32"/>
        </w:rPr>
        <w:t>《国家发展改革委办公厅</w:t>
      </w:r>
      <w:r>
        <w:rPr>
          <w:rFonts w:ascii="仿宋_GB2312" w:hAnsi="仿宋_GB2312" w:eastAsia="仿宋_GB2312" w:cs="仿宋_GB2312"/>
          <w:sz w:val="32"/>
          <w:szCs w:val="32"/>
        </w:rPr>
        <w:t xml:space="preserve"> 财政部办公厅 银保监会办公厅 关于推广疫情防控保险 助力做好保市场主体保就业保民生工作的通知</w:t>
      </w:r>
      <w:r>
        <w:rPr>
          <w:rFonts w:hint="eastAsia" w:ascii="仿宋_GB2312" w:hAnsi="仿宋_GB2312" w:eastAsia="仿宋_GB2312" w:cs="仿宋_GB2312"/>
          <w:sz w:val="32"/>
          <w:szCs w:val="32"/>
        </w:rPr>
        <w:t>》，就推广疫情防控保险提出具体要求。</w:t>
      </w:r>
      <w:r>
        <w:rPr>
          <w:rFonts w:hint="eastAsia" w:ascii="仿宋_GB2312" w:hAnsi="仿宋_GB2312" w:eastAsia="仿宋_GB2312" w:cs="仿宋_GB2312"/>
          <w:b w:val="0"/>
          <w:kern w:val="2"/>
          <w:sz w:val="32"/>
          <w:szCs w:val="32"/>
          <w:lang w:val="en-US" w:eastAsia="zh-CN" w:bidi="ar-SA"/>
        </w:rPr>
        <w:t>12月14日，中国银保监会印发《中国银保监会办公厅关于切实贯彻落实疫情防控优化措施 保障基础金融服务畅通有关事项的通知》，为贯彻落实党中央国务院制先后出台优化疫情防控二十条、新十条措施，统筹做好疫情防控和经济社会发展工作，确保基础金融服务不断档、有质量，提出相关要求。</w:t>
      </w:r>
    </w:p>
    <w:p>
      <w:pPr>
        <w:keepNext w:val="0"/>
        <w:keepLines w:val="0"/>
        <w:pageBreakBefore w:val="0"/>
        <w:shd w:val="clear" w:color="auto" w:fill="FEFEFE"/>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中国保险行业协会充分发挥自律职能，积极发动行业力量，认真做好支持疫情防控、强化风险保障的各项工作。</w:t>
      </w:r>
      <w:r>
        <w:rPr>
          <w:rFonts w:hint="eastAsia" w:ascii="仿宋_GB2312" w:hAnsi="仿宋_GB2312" w:eastAsia="仿宋_GB2312" w:cs="仿宋_GB2312"/>
          <w:b/>
          <w:bCs/>
          <w:sz w:val="32"/>
          <w:szCs w:val="32"/>
        </w:rPr>
        <w:t>一是加强调研。</w:t>
      </w:r>
      <w:r>
        <w:rPr>
          <w:rFonts w:hint="eastAsia" w:ascii="仿宋_GB2312" w:hAnsi="仿宋_GB2312" w:eastAsia="仿宋_GB2312" w:cs="仿宋_GB2312"/>
          <w:sz w:val="32"/>
          <w:szCs w:val="32"/>
        </w:rPr>
        <w:t>通过数据统计、问卷调查、座谈会议等形式，深入调研保险业服务疫情防控情况，特别是在助力企业复工复产、保产业链供应链、保民生保障方面的相关举措、面临问题和意见建议。</w:t>
      </w:r>
      <w:r>
        <w:rPr>
          <w:rFonts w:hint="eastAsia" w:ascii="仿宋_GB2312" w:hAnsi="仿宋_GB2312" w:eastAsia="仿宋_GB2312" w:cs="仿宋_GB2312"/>
          <w:b/>
          <w:bCs/>
          <w:sz w:val="32"/>
          <w:szCs w:val="32"/>
        </w:rPr>
        <w:t>二是广泛动员。</w:t>
      </w:r>
      <w:r>
        <w:rPr>
          <w:rFonts w:hint="eastAsia" w:ascii="仿宋_GB2312" w:hAnsi="仿宋_GB2312" w:eastAsia="仿宋_GB2312" w:cs="仿宋_GB2312"/>
          <w:sz w:val="32"/>
          <w:szCs w:val="32"/>
        </w:rPr>
        <w:t>通过倡议书、通知等形式，全面动员保险业做好服务疫情防控工作。</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5月6日，</w:t>
      </w:r>
      <w:r>
        <w:rPr>
          <w:rFonts w:hint="eastAsia" w:ascii="仿宋_GB2312" w:hAnsi="仿宋_GB2312" w:eastAsia="仿宋_GB2312" w:cs="仿宋_GB2312"/>
          <w:sz w:val="32"/>
          <w:szCs w:val="32"/>
          <w:lang w:val="en-US" w:eastAsia="zh-CN"/>
        </w:rPr>
        <w:t>中国</w:t>
      </w:r>
      <w:r>
        <w:rPr>
          <w:rFonts w:hint="eastAsia" w:ascii="仿宋_GB2312" w:hAnsi="仿宋_GB2312" w:eastAsia="仿宋_GB2312" w:cs="仿宋_GB2312"/>
          <w:sz w:val="32"/>
          <w:szCs w:val="32"/>
        </w:rPr>
        <w:t>保险</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业协会发布《关于保险业全力支持货运物流保通保畅工作的倡议书》，充分发挥保险支持货运物流保通保畅功能作用，解决好人民群众“急难愁盼”问题。5月30日，发布《中国保险行业协会关于财险行业扎实推动稳经济各项政策落地见效的通知》，推动行业积极服务实体经济，充分发挥保险保障功能，全面助推贯彻落实6个方面33条稳住经济一揽子政策措施。6月10日，发布《关于发挥保险功能作用 进一步做好受疫情影响困难行业企业等保险服务的倡议书》，动员行业进一步加强对受新冠肺炎疫情影响严重的行业企业等保险保障支持。据统计，财产险行业2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年累计推出抗疫专属产品共计1022个，其中2022年开发专属产品294个。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月，新开发专属抗疫产品近百个，为疫情防控提供保险保障2</w:t>
      </w:r>
      <w:r>
        <w:rPr>
          <w:rFonts w:ascii="仿宋_GB2312" w:hAnsi="仿宋_GB2312" w:eastAsia="仿宋_GB2312" w:cs="仿宋_GB2312"/>
          <w:sz w:val="32"/>
          <w:szCs w:val="32"/>
        </w:rPr>
        <w:t>0.76</w:t>
      </w:r>
      <w:r>
        <w:rPr>
          <w:rFonts w:hint="eastAsia" w:ascii="仿宋_GB2312" w:hAnsi="仿宋_GB2312" w:eastAsia="仿宋_GB2312" w:cs="仿宋_GB2312"/>
          <w:sz w:val="32"/>
          <w:szCs w:val="32"/>
        </w:rPr>
        <w:t>万亿元，处理相关理赔案件4</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万件。</w:t>
      </w:r>
      <w:r>
        <w:rPr>
          <w:rFonts w:hint="eastAsia" w:ascii="仿宋_GB2312" w:hAnsi="仿宋" w:eastAsia="仿宋_GB2312"/>
          <w:color w:val="333333"/>
          <w:sz w:val="32"/>
          <w:szCs w:val="32"/>
        </w:rPr>
        <w:t>疫苗保险累计为超34亿剂次新冠疫苗接种提供保险保障。</w:t>
      </w:r>
      <w:r>
        <w:rPr>
          <w:rFonts w:ascii="仿宋_GB2312" w:hAnsi="仿宋" w:eastAsia="仿宋_GB2312"/>
          <w:color w:val="000000"/>
          <w:sz w:val="32"/>
          <w:szCs w:val="32"/>
        </w:rPr>
        <w:t>为小微企业提供普惠保险保障118.3万亿元，助力小微企业复工复产、稳健发展</w:t>
      </w:r>
      <w:r>
        <w:rPr>
          <w:rFonts w:hint="eastAsia" w:ascii="仿宋_GB2312" w:hAnsi="仿宋" w:eastAsia="仿宋_GB2312"/>
          <w:color w:val="000000"/>
          <w:sz w:val="32"/>
          <w:szCs w:val="32"/>
        </w:rPr>
        <w:t>。</w:t>
      </w:r>
    </w:p>
    <w:p>
      <w:pPr>
        <w:numPr>
          <w:ilvl w:val="0"/>
          <w:numId w:val="0"/>
        </w:numPr>
        <w:shd w:val="clear" w:color="auto" w:fill="FEFEFE"/>
        <w:spacing w:line="640" w:lineRule="atLeast"/>
        <w:ind w:firstLine="643" w:firstLineChars="200"/>
        <w:rPr>
          <w:rFonts w:hint="eastAsia" w:ascii="黑体" w:hAnsi="黑体" w:eastAsia="黑体" w:cs="宋体"/>
          <w:b/>
          <w:color w:val="000000"/>
          <w:kern w:val="0"/>
          <w:sz w:val="32"/>
          <w:szCs w:val="32"/>
          <w:highlight w:val="none"/>
          <w:lang w:val="en-US" w:eastAsia="zh-CN"/>
        </w:rPr>
      </w:pPr>
      <w:r>
        <w:rPr>
          <w:rFonts w:hint="eastAsia" w:ascii="黑体" w:hAnsi="黑体" w:eastAsia="黑体" w:cs="宋体"/>
          <w:b/>
          <w:color w:val="000000"/>
          <w:kern w:val="0"/>
          <w:sz w:val="32"/>
          <w:szCs w:val="32"/>
          <w:highlight w:val="none"/>
          <w:lang w:val="en-US" w:eastAsia="zh-CN"/>
        </w:rPr>
        <w:t>四、2022年，保险业在“发展多层次、多支柱养老保险体系”中，充分发挥全生命周期综合服务优势，强化以“养老”为核心的专业能力建设，积极服务国家重要战略部署和个人养老金制度创新，全力支持第三支柱养老保险发展。</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ascii="仿宋_GB2312" w:hAnsi="Arial" w:eastAsia="仿宋_GB2312" w:cs="Arial"/>
          <w:color w:val="222222"/>
          <w:sz w:val="32"/>
          <w:szCs w:val="32"/>
          <w:shd w:val="clear" w:color="auto" w:fill="FFFFFF"/>
        </w:rPr>
      </w:pPr>
      <w:r>
        <w:rPr>
          <w:rFonts w:hint="eastAsia" w:ascii="仿宋_GB2312" w:hAnsi="黑体" w:eastAsia="仿宋_GB2312"/>
          <w:b/>
          <w:bCs/>
          <w:color w:val="000000"/>
          <w:sz w:val="32"/>
          <w:szCs w:val="32"/>
        </w:rPr>
        <w:t>概述：</w:t>
      </w:r>
      <w:r>
        <w:rPr>
          <w:rFonts w:hint="eastAsia" w:ascii="仿宋_GB2312" w:hAnsi="黑体" w:eastAsia="仿宋_GB2312"/>
          <w:color w:val="000000"/>
          <w:sz w:val="32"/>
          <w:szCs w:val="32"/>
        </w:rPr>
        <w:t>2022年，随着国家系列政策出台，具有中国特色的个人养老金制度体系初步构建，第三支柱养老保险制度正式启动。</w:t>
      </w:r>
      <w:r>
        <w:rPr>
          <w:rFonts w:hint="eastAsia" w:ascii="仿宋_GB2312" w:hAnsi="Arial" w:eastAsia="仿宋_GB2312" w:cs="Arial"/>
          <w:color w:val="222222"/>
          <w:sz w:val="32"/>
          <w:szCs w:val="32"/>
          <w:shd w:val="clear" w:color="auto" w:fill="FFFFFF"/>
        </w:rPr>
        <w:t>作为多层次、多支柱养老保险体系的重要建设者和参与者，保险业发挥在养老服务产业链上所具有的综合服务优势，强化专业能力建设，积极服务国家重要战略部署，全力支持第三支柱养老保险发展。</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eastAsia="仿宋_GB2312"/>
          <w:sz w:val="32"/>
          <w:szCs w:val="32"/>
        </w:rPr>
      </w:pPr>
      <w:r>
        <w:rPr>
          <w:rFonts w:hint="eastAsia" w:ascii="仿宋_GB2312" w:hAnsi="黑体" w:eastAsia="仿宋_GB2312"/>
          <w:color w:val="000000"/>
          <w:sz w:val="32"/>
          <w:szCs w:val="32"/>
        </w:rPr>
        <w:t>4月8日，《国务院办公厅关于推动个人养老金发展的意见》（以下简称《意见》）正式出台，明确提出</w:t>
      </w:r>
      <w:r>
        <w:rPr>
          <w:rFonts w:hint="eastAsia" w:ascii="仿宋_GB2312" w:hAnsi="Arial" w:eastAsia="仿宋_GB2312" w:cs="Arial"/>
          <w:color w:val="222222"/>
          <w:sz w:val="32"/>
          <w:szCs w:val="32"/>
          <w:shd w:val="clear" w:color="auto" w:fill="FFFFFF"/>
        </w:rPr>
        <w:t>推动发展适合中国国情、政府政策支持、个人自愿参加、市场化运营的个人养老金，标志着我国个人养老金制度正式启动实施。9月26日，国务院常务会议决定，对政策支持、商业化运营的个人养老金实行个人所得税优惠，激励个人养老金发展。11月，相关配套政策密集发布。人社部、银保监会等五部门联合印发《个人养老金实施办法》，证监会发布《个人养老金投资公开募集证券投资基金业务管理暂行规定》。</w:t>
      </w:r>
      <w:r>
        <w:rPr>
          <w:rFonts w:hint="eastAsia" w:ascii="仿宋_GB2312" w:hAnsi="Arial" w:eastAsia="仿宋_GB2312" w:cs="Arial"/>
          <w:color w:val="222222"/>
          <w:sz w:val="32"/>
          <w:szCs w:val="32"/>
          <w:shd w:val="clear" w:color="auto" w:fill="FFFFFF"/>
          <w:lang w:val="en-US" w:eastAsia="zh-CN"/>
        </w:rPr>
        <w:t>中国</w:t>
      </w:r>
      <w:r>
        <w:rPr>
          <w:rFonts w:hint="eastAsia" w:ascii="仿宋_GB2312" w:hAnsi="Arial" w:eastAsia="仿宋_GB2312" w:cs="Arial"/>
          <w:color w:val="222222"/>
          <w:sz w:val="32"/>
          <w:szCs w:val="32"/>
          <w:shd w:val="clear" w:color="auto" w:fill="FFFFFF"/>
        </w:rPr>
        <w:t>银保监会分别发布《商业银行和理财公司个人养老金业务管理暂行办法》，《关于保险公司开展个人养老金业务有关事项的通知》。</w:t>
      </w:r>
      <w:r>
        <w:rPr>
          <w:rFonts w:hint="eastAsia" w:ascii="仿宋_GB2312" w:hAnsi="微软雅黑" w:eastAsia="仿宋_GB2312"/>
          <w:color w:val="000000"/>
          <w:sz w:val="32"/>
          <w:szCs w:val="32"/>
        </w:rPr>
        <w:t>至此，以《意见》为统领、四项配套规则为辅助的第三支柱养老保险制度体系全面搭建完成。</w:t>
      </w:r>
      <w:r>
        <w:rPr>
          <w:rFonts w:hint="eastAsia" w:ascii="仿宋_GB2312" w:eastAsia="仿宋_GB2312"/>
          <w:sz w:val="32"/>
          <w:szCs w:val="32"/>
        </w:rPr>
        <w:t>11月25日，个人养老金制度试点工作在全国多地启动实施，首批个人养老金保险产品顺利上线，多家保险机构实现出单。</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微软雅黑" w:eastAsia="仿宋_GB2312"/>
          <w:color w:val="000000"/>
          <w:sz w:val="32"/>
          <w:szCs w:val="32"/>
        </w:rPr>
      </w:pPr>
      <w:r>
        <w:rPr>
          <w:rFonts w:hint="eastAsia" w:ascii="仿宋_GB2312" w:hAnsi="仿宋" w:eastAsia="仿宋_GB2312"/>
          <w:color w:val="333333"/>
          <w:sz w:val="32"/>
          <w:szCs w:val="32"/>
          <w:shd w:val="clear" w:color="auto" w:fill="FEFEFE"/>
        </w:rPr>
        <w:t>党的二十大报告明确提出，“发展多层次、多支柱养老保险体系”，《意见》要求“协调发展其他个人商业养老金融业务”。2021年以来，</w:t>
      </w:r>
      <w:r>
        <w:rPr>
          <w:rFonts w:hint="eastAsia" w:ascii="仿宋_GB2312" w:hAnsi="仿宋" w:eastAsia="仿宋_GB2312"/>
          <w:color w:val="333333"/>
          <w:sz w:val="32"/>
          <w:szCs w:val="32"/>
          <w:shd w:val="clear" w:color="auto" w:fill="FEFEFE"/>
          <w:lang w:val="en-US" w:eastAsia="zh-CN"/>
        </w:rPr>
        <w:t>中国</w:t>
      </w:r>
      <w:r>
        <w:rPr>
          <w:rFonts w:hint="eastAsia" w:ascii="仿宋_GB2312" w:hAnsi="仿宋" w:eastAsia="仿宋_GB2312"/>
          <w:color w:val="333333"/>
          <w:sz w:val="32"/>
          <w:szCs w:val="32"/>
          <w:shd w:val="clear" w:color="auto" w:fill="FEFEFE"/>
        </w:rPr>
        <w:t>银保监会先后启动专属商业养老保险、养老理财产品、特定养老储蓄等试点，取得积极成效。目前，真正具有养老属性的保险产品快速增加，为人民群众积累了规模超过5万亿元的养老责任准备金。</w:t>
      </w:r>
      <w:r>
        <w:rPr>
          <w:rFonts w:hint="eastAsia" w:ascii="仿宋_GB2312" w:hAnsi="Arial" w:eastAsia="仿宋_GB2312" w:cs="Arial"/>
          <w:color w:val="222222"/>
          <w:sz w:val="32"/>
          <w:szCs w:val="32"/>
          <w:shd w:val="clear" w:color="auto" w:fill="FFFFFF"/>
        </w:rPr>
        <w:t>专属商业养老保险试点一年来，投保人数超过25万，其中包括4.7万新产业、新业态劳动者和各类灵活就业人员。11月24日，</w:t>
      </w:r>
      <w:r>
        <w:rPr>
          <w:rFonts w:hint="eastAsia" w:ascii="仿宋_GB2312" w:hAnsi="Arial" w:eastAsia="仿宋_GB2312" w:cs="Arial"/>
          <w:color w:val="222222"/>
          <w:sz w:val="32"/>
          <w:szCs w:val="32"/>
          <w:shd w:val="clear" w:color="auto" w:fill="FFFFFF"/>
          <w:lang w:val="en-US" w:eastAsia="zh-CN"/>
        </w:rPr>
        <w:t>中国</w:t>
      </w:r>
      <w:r>
        <w:rPr>
          <w:rFonts w:hint="eastAsia" w:ascii="仿宋_GB2312" w:hAnsi="Arial" w:eastAsia="仿宋_GB2312" w:cs="Arial"/>
          <w:color w:val="222222"/>
          <w:sz w:val="32"/>
          <w:szCs w:val="32"/>
          <w:shd w:val="clear" w:color="auto" w:fill="FFFFFF"/>
        </w:rPr>
        <w:t>银保监会办公厅印发《关于开展养老保险公司商业养老金业务试点的通知》，</w:t>
      </w:r>
      <w:r>
        <w:rPr>
          <w:rFonts w:hint="eastAsia" w:ascii="仿宋_GB2312" w:hAnsi="微软雅黑" w:eastAsia="仿宋_GB2312"/>
          <w:color w:val="000000"/>
          <w:sz w:val="32"/>
          <w:szCs w:val="32"/>
        </w:rPr>
        <w:t>决定自2023年1月1日起，由四家专业养老险公司在北京等10个省（市）开展商业养老金业务试点，以</w:t>
      </w:r>
      <w:r>
        <w:rPr>
          <w:rFonts w:hint="eastAsia" w:ascii="仿宋_GB2312" w:hAnsi="仿宋" w:eastAsia="仿宋_GB2312"/>
          <w:color w:val="333333"/>
          <w:sz w:val="32"/>
          <w:szCs w:val="32"/>
          <w:shd w:val="clear" w:color="auto" w:fill="FEFEFE"/>
        </w:rPr>
        <w:t>进一步丰富商业养老金融产品供给，</w:t>
      </w:r>
      <w:r>
        <w:rPr>
          <w:rFonts w:hint="eastAsia" w:ascii="仿宋_GB2312" w:hAnsi="微软雅黑" w:eastAsia="仿宋_GB2312"/>
          <w:color w:val="000000"/>
          <w:sz w:val="32"/>
          <w:szCs w:val="32"/>
        </w:rPr>
        <w:t>满足消费者的多样化养老保障需求。</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微软雅黑" w:eastAsia="仿宋_GB2312"/>
          <w:color w:val="000000"/>
          <w:sz w:val="32"/>
          <w:szCs w:val="32"/>
        </w:rPr>
      </w:pPr>
      <w:r>
        <w:rPr>
          <w:rFonts w:hint="eastAsia" w:ascii="仿宋_GB2312" w:eastAsia="仿宋_GB2312"/>
          <w:sz w:val="32"/>
        </w:rPr>
        <w:t>2</w:t>
      </w:r>
      <w:r>
        <w:rPr>
          <w:rFonts w:ascii="仿宋_GB2312" w:eastAsia="仿宋_GB2312"/>
          <w:sz w:val="32"/>
        </w:rPr>
        <w:t>022</w:t>
      </w:r>
      <w:r>
        <w:rPr>
          <w:rFonts w:hint="eastAsia" w:ascii="仿宋_GB2312" w:eastAsia="仿宋_GB2312"/>
          <w:sz w:val="32"/>
        </w:rPr>
        <w:t>年，为</w:t>
      </w:r>
      <w:r>
        <w:rPr>
          <w:rFonts w:hint="eastAsia" w:ascii="仿宋_GB2312" w:eastAsia="仿宋_GB2312"/>
          <w:sz w:val="32"/>
          <w:lang w:val="en-US" w:eastAsia="zh-CN"/>
        </w:rPr>
        <w:t>服务</w:t>
      </w:r>
      <w:r>
        <w:rPr>
          <w:rFonts w:hint="eastAsia" w:ascii="仿宋_GB2312" w:eastAsia="仿宋_GB2312"/>
          <w:sz w:val="32"/>
        </w:rPr>
        <w:t>个人养老金制度落地实施，中国保险行业协会专门成立课题工作组，深入开展行业调研，围绕行业面临的痛点难点问题，形成《关于第三支柱养老保险较佳实践探索的研究报告》，提出了针对性的意见建议，为保险业参与个人养老金制度发挥了推动和引领作用。</w:t>
      </w:r>
      <w:r>
        <w:rPr>
          <w:rFonts w:hint="eastAsia" w:ascii="仿宋_GB2312" w:hAnsi="微软雅黑" w:eastAsia="仿宋_GB2312"/>
          <w:color w:val="000000"/>
          <w:sz w:val="32"/>
          <w:szCs w:val="32"/>
        </w:rPr>
        <w:t>按照国家政策，个人养老金产品应当具备运作安全、成熟稳定、标的规范、侧重长期保值等基本特征。根据</w:t>
      </w:r>
      <w:r>
        <w:rPr>
          <w:rFonts w:hint="eastAsia" w:ascii="仿宋_GB2312" w:hAnsi="微软雅黑" w:eastAsia="仿宋_GB2312"/>
          <w:color w:val="000000"/>
          <w:sz w:val="32"/>
          <w:szCs w:val="32"/>
          <w:lang w:val="en-US" w:eastAsia="zh-CN"/>
        </w:rPr>
        <w:t>中国</w:t>
      </w:r>
      <w:r>
        <w:rPr>
          <w:rFonts w:hint="eastAsia" w:ascii="仿宋_GB2312" w:hAnsi="微软雅黑" w:eastAsia="仿宋_GB2312"/>
          <w:color w:val="000000"/>
          <w:sz w:val="32"/>
          <w:szCs w:val="32"/>
        </w:rPr>
        <w:t>银保监会的要求，保险业推出的养老保险产品具有保障程度较高、抵御风险能力较强、以及长期属性等特点，且具有</w:t>
      </w:r>
      <w:r>
        <w:rPr>
          <w:rFonts w:hint="eastAsia" w:ascii="仿宋_GB2312" w:hAnsi="Microsoft YaHei UI" w:eastAsia="仿宋_GB2312"/>
          <w:color w:val="222222"/>
          <w:spacing w:val="8"/>
          <w:sz w:val="32"/>
          <w:szCs w:val="32"/>
          <w:shd w:val="clear" w:color="auto" w:fill="FFFFFF"/>
        </w:rPr>
        <w:t>提供全生命周期健康养老服务的独特优势。保险业持续加强以“养老”为核心的专业能力建设，强化综合服务优势，努力</w:t>
      </w:r>
      <w:r>
        <w:rPr>
          <w:rFonts w:hint="eastAsia" w:ascii="仿宋_GB2312" w:hAnsi="微软雅黑" w:eastAsia="仿宋_GB2312"/>
          <w:color w:val="000000"/>
          <w:sz w:val="32"/>
          <w:szCs w:val="32"/>
        </w:rPr>
        <w:t>成为我国第三支柱养老保险发展的核心力量。</w:t>
      </w:r>
    </w:p>
    <w:p>
      <w:pPr>
        <w:numPr>
          <w:ilvl w:val="0"/>
          <w:numId w:val="0"/>
        </w:numPr>
        <w:shd w:val="clear" w:color="auto" w:fill="FEFEFE"/>
        <w:spacing w:line="640" w:lineRule="atLeast"/>
        <w:ind w:firstLine="643" w:firstLineChars="200"/>
        <w:rPr>
          <w:rFonts w:hint="eastAsia" w:ascii="黑体" w:hAnsi="黑体" w:eastAsia="黑体" w:cs="宋体"/>
          <w:b/>
          <w:color w:val="000000"/>
          <w:kern w:val="0"/>
          <w:sz w:val="32"/>
          <w:szCs w:val="32"/>
          <w:highlight w:val="none"/>
          <w:lang w:val="en-US" w:eastAsia="zh-CN"/>
        </w:rPr>
      </w:pPr>
      <w:r>
        <w:rPr>
          <w:rFonts w:hint="eastAsia" w:ascii="黑体" w:hAnsi="黑体" w:eastAsia="黑体" w:cs="宋体"/>
          <w:b/>
          <w:color w:val="000000"/>
          <w:kern w:val="0"/>
          <w:sz w:val="32"/>
          <w:szCs w:val="32"/>
          <w:highlight w:val="none"/>
          <w:lang w:val="en-US" w:eastAsia="zh-CN"/>
        </w:rPr>
        <w:t>五、2022年，保险业认真贯彻《中共中央 国务院关于做好2022年全面推进乡村振兴重点工作的意见》中“接续全面推进乡村振兴”“牢牢守住保障国家粮食安全和不发生规模性返贫两条底线”等精神，持续做好服务乡村振兴的各项工作。</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ascii="仿宋_GB2312" w:hAnsi="仿宋" w:eastAsia="仿宋_GB2312"/>
          <w:color w:val="000000"/>
          <w:sz w:val="32"/>
          <w:szCs w:val="32"/>
        </w:rPr>
      </w:pPr>
      <w:r>
        <w:rPr>
          <w:rFonts w:hint="eastAsia" w:ascii="仿宋_GB2312" w:hAnsi="黑体" w:eastAsia="仿宋_GB2312"/>
          <w:b/>
          <w:bCs/>
          <w:sz w:val="32"/>
          <w:szCs w:val="32"/>
        </w:rPr>
        <w:t>概述：</w:t>
      </w:r>
      <w:r>
        <w:rPr>
          <w:rFonts w:hint="eastAsia" w:ascii="仿宋_GB2312" w:hAnsi="黑体" w:eastAsia="仿宋_GB2312"/>
          <w:b w:val="0"/>
          <w:bCs w:val="0"/>
          <w:sz w:val="32"/>
          <w:szCs w:val="32"/>
          <w:lang w:val="en-US" w:eastAsia="zh-CN"/>
        </w:rPr>
        <w:t>2022年</w:t>
      </w:r>
      <w:r>
        <w:rPr>
          <w:rFonts w:hint="eastAsia" w:ascii="仿宋_GB2312" w:hAnsi="黑体" w:eastAsia="仿宋_GB2312"/>
          <w:sz w:val="32"/>
          <w:szCs w:val="32"/>
        </w:rPr>
        <w:t>2月1</w:t>
      </w:r>
      <w:r>
        <w:rPr>
          <w:rFonts w:ascii="仿宋_GB2312" w:hAnsi="黑体" w:eastAsia="仿宋_GB2312"/>
          <w:sz w:val="32"/>
          <w:szCs w:val="32"/>
        </w:rPr>
        <w:t>7</w:t>
      </w:r>
      <w:r>
        <w:rPr>
          <w:rFonts w:hint="eastAsia" w:ascii="仿宋_GB2312" w:hAnsi="黑体" w:eastAsia="仿宋_GB2312"/>
          <w:sz w:val="32"/>
          <w:szCs w:val="32"/>
        </w:rPr>
        <w:t>日，中国银保监会印发《农业保险承保理赔管理办法》，《办法》</w:t>
      </w:r>
      <w:r>
        <w:rPr>
          <w:rFonts w:hint="eastAsia" w:ascii="仿宋_GB2312" w:hAnsi="仿宋" w:eastAsia="仿宋_GB2312"/>
          <w:color w:val="000000"/>
          <w:sz w:val="32"/>
          <w:szCs w:val="32"/>
        </w:rPr>
        <w:t>进一步规范了农业保险承保理赔管理，加强了农业保险的监管，将为未来一段时期我国农业保险监管提供有力的制度保障</w:t>
      </w:r>
      <w:r>
        <w:rPr>
          <w:rFonts w:hint="eastAsia" w:ascii="仿宋_GB2312" w:hAnsi="黑体" w:eastAsia="仿宋_GB2312"/>
          <w:sz w:val="32"/>
          <w:szCs w:val="32"/>
          <w:lang w:eastAsia="zh-CN"/>
        </w:rPr>
        <w:t>。</w:t>
      </w:r>
      <w:r>
        <w:rPr>
          <w:rFonts w:hint="eastAsia" w:ascii="仿宋_GB2312" w:hAnsi="黑体" w:eastAsia="仿宋_GB2312"/>
          <w:sz w:val="32"/>
          <w:szCs w:val="32"/>
        </w:rPr>
        <w:t>4月2日，</w:t>
      </w:r>
      <w:r>
        <w:rPr>
          <w:rFonts w:hint="eastAsia" w:ascii="仿宋_GB2312" w:hAnsi="黑体" w:eastAsia="仿宋_GB2312"/>
          <w:sz w:val="32"/>
          <w:szCs w:val="32"/>
          <w:lang w:val="en-US" w:eastAsia="zh-CN"/>
        </w:rPr>
        <w:t>中国</w:t>
      </w:r>
      <w:r>
        <w:rPr>
          <w:rFonts w:hint="eastAsia" w:ascii="仿宋_GB2312" w:hAnsi="黑体" w:eastAsia="仿宋_GB2312"/>
          <w:sz w:val="32"/>
          <w:szCs w:val="32"/>
        </w:rPr>
        <w:t>银保监会办公厅印发《关于2022年银行业保险业服务全面推进乡村振兴重点工作的通知》，深入贯彻落实党中央、国务院关于实施乡村振兴战略的决策部署，</w:t>
      </w:r>
      <w:r>
        <w:rPr>
          <w:rFonts w:hint="eastAsia" w:ascii="仿宋_GB2312" w:hAnsi="仿宋" w:eastAsia="仿宋_GB2312"/>
          <w:color w:val="333333"/>
          <w:sz w:val="32"/>
          <w:szCs w:val="32"/>
        </w:rPr>
        <w:t>围绕金融服务全面推进乡村振兴重点工作，特别是增强保险服务乡村振兴功能作用对保险行业提出了要求。7月20日，</w:t>
      </w:r>
      <w:r>
        <w:rPr>
          <w:rFonts w:hint="eastAsia" w:ascii="仿宋_GB2312" w:hAnsi="仿宋" w:eastAsia="仿宋_GB2312"/>
          <w:color w:val="333333"/>
          <w:sz w:val="32"/>
          <w:szCs w:val="32"/>
          <w:lang w:val="en-US" w:eastAsia="zh-CN"/>
        </w:rPr>
        <w:t>中国</w:t>
      </w:r>
      <w:r>
        <w:rPr>
          <w:rFonts w:hint="eastAsia" w:ascii="仿宋_GB2312" w:hAnsi="仿宋" w:eastAsia="仿宋_GB2312"/>
          <w:color w:val="333333"/>
          <w:sz w:val="32"/>
          <w:szCs w:val="32"/>
        </w:rPr>
        <w:t>银保监会召开</w:t>
      </w:r>
      <w:r>
        <w:rPr>
          <w:rFonts w:hint="eastAsia" w:ascii="仿宋_GB2312" w:hAnsi="微软雅黑" w:eastAsia="仿宋_GB2312"/>
          <w:color w:val="333333"/>
          <w:sz w:val="32"/>
          <w:szCs w:val="32"/>
        </w:rPr>
        <w:t>金融服务乡村振兴暨农村信用体系建设工作推进会议，</w:t>
      </w:r>
      <w:r>
        <w:rPr>
          <w:rFonts w:hint="eastAsia" w:ascii="仿宋_GB2312" w:hAnsi="仿宋" w:eastAsia="仿宋_GB2312"/>
          <w:color w:val="333333"/>
          <w:sz w:val="32"/>
          <w:szCs w:val="32"/>
        </w:rPr>
        <w:t>总结金融服务乡村振兴情况，交流农村信用体系建设经验，会议要求，</w:t>
      </w:r>
      <w:r>
        <w:rPr>
          <w:rFonts w:hint="eastAsia" w:ascii="仿宋_GB2312" w:hAnsi="仿宋" w:eastAsia="仿宋_GB2312"/>
          <w:color w:val="000000"/>
          <w:sz w:val="32"/>
          <w:szCs w:val="32"/>
        </w:rPr>
        <w:t>银行业保险业必须</w:t>
      </w:r>
      <w:r>
        <w:rPr>
          <w:rFonts w:hint="eastAsia" w:ascii="仿宋_GB2312" w:hAnsi="仿宋" w:eastAsia="仿宋_GB2312"/>
          <w:color w:val="333333"/>
          <w:sz w:val="32"/>
          <w:szCs w:val="32"/>
        </w:rPr>
        <w:t>坚决践行金融的政治性、人民性，</w:t>
      </w:r>
      <w:r>
        <w:rPr>
          <w:rFonts w:hint="eastAsia" w:ascii="仿宋_GB2312" w:hAnsi="仿宋" w:eastAsia="仿宋_GB2312"/>
          <w:color w:val="000000"/>
          <w:sz w:val="32"/>
          <w:szCs w:val="32"/>
        </w:rPr>
        <w:t>确保涉农金融投入稳中有增，重点聚焦粮食安全、巩固脱贫攻坚、涉农经营主体、新市民、乡村建设等“三农”重点领域加强金融供给，提升供给质量，持续深化农村信用体系建设。</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中国保险行业协会认真做好服务乡村振兴工作，2</w:t>
      </w:r>
      <w:r>
        <w:rPr>
          <w:rFonts w:ascii="仿宋_GB2312" w:hAnsi="仿宋" w:eastAsia="仿宋_GB2312"/>
          <w:color w:val="000000"/>
          <w:sz w:val="32"/>
          <w:szCs w:val="32"/>
        </w:rPr>
        <w:t>022</w:t>
      </w:r>
      <w:r>
        <w:rPr>
          <w:rFonts w:hint="eastAsia" w:ascii="仿宋_GB2312" w:hAnsi="仿宋" w:eastAsia="仿宋_GB2312"/>
          <w:color w:val="000000"/>
          <w:sz w:val="32"/>
          <w:szCs w:val="32"/>
        </w:rPr>
        <w:t>年开展多项自律工作，研究制定并发布了能繁母猪、育肥猪和森林保险示范条款，首次发布种植业保险、养殖业保险及森林保险承保理赔服务规范，组织行业制定并发布了《农业保险产品开发指引》。截至1</w:t>
      </w:r>
      <w:r>
        <w:rPr>
          <w:rFonts w:ascii="仿宋_GB2312" w:hAnsi="仿宋" w:eastAsia="仿宋_GB2312"/>
          <w:color w:val="000000"/>
          <w:sz w:val="32"/>
          <w:szCs w:val="32"/>
        </w:rPr>
        <w:t>0</w:t>
      </w:r>
      <w:r>
        <w:rPr>
          <w:rFonts w:hint="eastAsia" w:ascii="仿宋_GB2312" w:hAnsi="仿宋" w:eastAsia="仿宋_GB2312"/>
          <w:color w:val="000000"/>
          <w:sz w:val="32"/>
          <w:szCs w:val="32"/>
        </w:rPr>
        <w:t>月末，农业保险承保主要农作物达21亿亩，约占全国播种面积的84％，承保农作物品种超过210种，基本覆盖我国主要粮食作物和糖料、油料、生猪等主要大宗农产品</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农业保险保费收入达1</w:t>
      </w:r>
      <w:r>
        <w:rPr>
          <w:rFonts w:ascii="仿宋_GB2312" w:hAnsi="仿宋" w:eastAsia="仿宋_GB2312"/>
          <w:color w:val="000000"/>
          <w:sz w:val="32"/>
          <w:szCs w:val="32"/>
        </w:rPr>
        <w:t>119</w:t>
      </w:r>
      <w:r>
        <w:rPr>
          <w:rFonts w:hint="eastAsia" w:ascii="仿宋_GB2312" w:hAnsi="仿宋" w:eastAsia="仿宋_GB2312"/>
          <w:color w:val="000000"/>
          <w:sz w:val="32"/>
          <w:szCs w:val="32"/>
        </w:rPr>
        <w:t>亿元，为农业生产提供风险保障</w:t>
      </w:r>
      <w:r>
        <w:rPr>
          <w:rFonts w:ascii="仿宋_GB2312" w:hAnsi="仿宋" w:eastAsia="仿宋_GB2312"/>
          <w:color w:val="000000"/>
          <w:sz w:val="32"/>
          <w:szCs w:val="32"/>
        </w:rPr>
        <w:t>3.92</w:t>
      </w:r>
      <w:r>
        <w:rPr>
          <w:rFonts w:hint="eastAsia" w:ascii="仿宋_GB2312" w:hAnsi="仿宋" w:eastAsia="仿宋_GB2312"/>
          <w:color w:val="000000"/>
          <w:sz w:val="32"/>
          <w:szCs w:val="32"/>
        </w:rPr>
        <w:t>万亿元。</w:t>
      </w:r>
    </w:p>
    <w:p>
      <w:pPr>
        <w:ind w:firstLine="643" w:firstLineChars="200"/>
        <w:rPr>
          <w:rFonts w:hint="eastAsia" w:ascii="黑体" w:hAnsi="黑体" w:eastAsia="黑体" w:cs="宋体"/>
          <w:b/>
          <w:color w:val="000000"/>
          <w:kern w:val="0"/>
          <w:sz w:val="32"/>
          <w:szCs w:val="32"/>
          <w:highlight w:val="none"/>
          <w:lang w:val="en-US" w:eastAsia="zh-CN"/>
        </w:rPr>
      </w:pPr>
      <w:r>
        <w:rPr>
          <w:rFonts w:hint="eastAsia" w:ascii="黑体" w:hAnsi="黑体" w:eastAsia="黑体" w:cs="宋体"/>
          <w:b/>
          <w:color w:val="000000"/>
          <w:kern w:val="0"/>
          <w:sz w:val="32"/>
          <w:szCs w:val="32"/>
          <w:highlight w:val="none"/>
          <w:lang w:val="en-US" w:eastAsia="zh-CN"/>
        </w:rPr>
        <w:t>六、2022年，保险业贯彻落实习近平总书记关于防灾减灾救灾的一系列重要论述精神，进一步健全灾害事故分级处置制度机制，加快发展巨灾保险，助力国家应急管理体系建设，持续做好防灾减灾工作，稳妥处理“3.21”东航MU5735航空飞行器事故。</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 w:eastAsia="仿宋_GB2312"/>
          <w:color w:val="333333"/>
          <w:sz w:val="32"/>
          <w:szCs w:val="32"/>
        </w:rPr>
      </w:pPr>
      <w:r>
        <w:rPr>
          <w:rFonts w:hint="eastAsia" w:ascii="仿宋_GB2312" w:hAnsi="微软雅黑" w:eastAsia="仿宋_GB2312"/>
          <w:b/>
          <w:bCs/>
          <w:color w:val="333333"/>
          <w:sz w:val="32"/>
          <w:szCs w:val="32"/>
        </w:rPr>
        <w:t>概述：</w:t>
      </w:r>
      <w:r>
        <w:rPr>
          <w:rFonts w:hint="eastAsia" w:ascii="仿宋_GB2312" w:hAnsi="微软雅黑" w:eastAsia="仿宋_GB2312"/>
          <w:b w:val="0"/>
          <w:bCs w:val="0"/>
          <w:color w:val="333333"/>
          <w:sz w:val="32"/>
          <w:szCs w:val="32"/>
          <w:lang w:val="en-US" w:eastAsia="zh-CN"/>
        </w:rPr>
        <w:t>2022年</w:t>
      </w:r>
      <w:r>
        <w:rPr>
          <w:rFonts w:hint="eastAsia" w:ascii="仿宋_GB2312" w:hAnsi="微软雅黑" w:eastAsia="仿宋_GB2312"/>
          <w:color w:val="333333"/>
          <w:sz w:val="32"/>
          <w:szCs w:val="32"/>
        </w:rPr>
        <w:t>11月8日，中国银保监会印发《财产保险灾害事故分级处置办法》，</w:t>
      </w:r>
      <w:r>
        <w:rPr>
          <w:rFonts w:hint="eastAsia" w:ascii="仿宋_GB2312" w:hAnsi="仿宋" w:eastAsia="仿宋_GB2312"/>
          <w:color w:val="333333"/>
          <w:sz w:val="32"/>
          <w:szCs w:val="32"/>
        </w:rPr>
        <w:t>切实发挥保险防灾减损和经济补偿功能，进一步提升财产保险灾害事故处置能力。《办法》明确了财产保险灾害事故的含义和财产保险灾害事故处置的工作原则，并明确各级灾害事故的统筹应对主体和工作措施，要求各财险公司应当强化风险隐患排查、防灾减灾知识技能培训以及新闻宣传管理。同时要求</w:t>
      </w:r>
      <w:r>
        <w:rPr>
          <w:rFonts w:hint="eastAsia" w:ascii="仿宋_GB2312" w:hAnsi="仿宋" w:eastAsia="仿宋_GB2312"/>
          <w:color w:val="333333"/>
          <w:sz w:val="32"/>
          <w:szCs w:val="32"/>
          <w:lang w:val="en-US" w:eastAsia="zh-CN"/>
        </w:rPr>
        <w:t>中国</w:t>
      </w:r>
      <w:r>
        <w:rPr>
          <w:rFonts w:hint="eastAsia" w:ascii="仿宋_GB2312" w:hAnsi="仿宋" w:eastAsia="仿宋_GB2312"/>
          <w:color w:val="333333"/>
          <w:sz w:val="32"/>
          <w:szCs w:val="32"/>
        </w:rPr>
        <w:t>保险</w:t>
      </w:r>
      <w:r>
        <w:rPr>
          <w:rFonts w:hint="eastAsia" w:ascii="仿宋_GB2312" w:hAnsi="仿宋" w:eastAsia="仿宋_GB2312"/>
          <w:color w:val="333333"/>
          <w:sz w:val="32"/>
          <w:szCs w:val="32"/>
          <w:lang w:val="en-US" w:eastAsia="zh-CN"/>
        </w:rPr>
        <w:t>行</w:t>
      </w:r>
      <w:r>
        <w:rPr>
          <w:rFonts w:hint="eastAsia" w:ascii="仿宋_GB2312" w:hAnsi="仿宋" w:eastAsia="仿宋_GB2312"/>
          <w:color w:val="333333"/>
          <w:sz w:val="32"/>
          <w:szCs w:val="32"/>
        </w:rPr>
        <w:t>业协会应当发挥自律协调作用并制定行业灾害事故处置规范。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 w:eastAsia="仿宋_GB2312"/>
          <w:color w:val="333333"/>
          <w:sz w:val="32"/>
          <w:szCs w:val="32"/>
        </w:rPr>
      </w:pPr>
      <w:r>
        <w:rPr>
          <w:rFonts w:hint="eastAsia" w:ascii="仿宋_GB2312" w:hAnsi="仿宋" w:eastAsia="仿宋_GB2312"/>
          <w:color w:val="333333"/>
          <w:sz w:val="32"/>
          <w:szCs w:val="32"/>
          <w:lang w:val="en-US" w:eastAsia="zh-CN"/>
        </w:rPr>
        <w:t>“3.21”东航MU5735航空飞行器事故后，中国银保监会党委高度重视，立即行动，第一时间成立工作专班统筹指导，相关银保监局和保险公司迅速响应、及时跟进，全力做好保险理赔服务相关工作。3月22日，中国银保监会印发《关于做好东航客机坠毁事故保险理赔服务工作的通知》，部署行业主动排查承保客户信息，充分尊重家属意愿，建立理赔绿色通道，同时严禁借机炒作。截至3月29日，财产保险方面，承保飞机机身的人保财险、太保财险、平安财险、国寿财险合计向东方航空公司预付保险赔款1.16亿元。人身保险方面，相关保险公司根据客户报案情况，积极开展保险理赔工作，目前已有11家公司向遇难人员家属支付14笔赔款，金额合计1485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 w:eastAsia="仿宋_GB2312"/>
          <w:color w:val="333333"/>
          <w:sz w:val="32"/>
          <w:szCs w:val="32"/>
          <w:lang w:val="en-US" w:eastAsia="zh-CN"/>
        </w:rPr>
        <w:t>2022年</w:t>
      </w:r>
      <w:r>
        <w:rPr>
          <w:rFonts w:hint="eastAsia" w:ascii="仿宋_GB2312" w:hAnsi="仿宋" w:eastAsia="仿宋_GB2312"/>
          <w:color w:val="333333"/>
          <w:sz w:val="32"/>
          <w:szCs w:val="32"/>
        </w:rPr>
        <w:t>5月，中国保险行业协会</w:t>
      </w:r>
      <w:r>
        <w:rPr>
          <w:rFonts w:hint="eastAsia" w:ascii="仿宋_GB2312" w:eastAsia="仿宋_GB2312"/>
          <w:sz w:val="32"/>
          <w:szCs w:val="32"/>
        </w:rPr>
        <w:t>围绕2022年全国防灾减灾日“减轻灾害风险 守护美好家园”的主题，印发《关于充分发挥专业优势全力做好2022年防灾减灾工作的倡议书》，引导行业积极主动履行防灾减灾救灾责任，发动行业广泛开展防灾减灾宣传教育活动，全面服务风险隐患排查，有序举办防灾救灾演习，加强防灾减灾领域科技赋能，全方位提升应灾管理能力。据</w:t>
      </w:r>
      <w:r>
        <w:rPr>
          <w:rFonts w:hint="eastAsia" w:ascii="仿宋_GB2312" w:eastAsia="仿宋_GB2312"/>
          <w:sz w:val="32"/>
          <w:szCs w:val="32"/>
          <w:lang w:val="en-US" w:eastAsia="zh-CN"/>
        </w:rPr>
        <w:t>中国</w:t>
      </w:r>
      <w:r>
        <w:rPr>
          <w:rFonts w:hint="eastAsia" w:ascii="仿宋_GB2312" w:eastAsia="仿宋_GB2312"/>
          <w:sz w:val="32"/>
          <w:szCs w:val="32"/>
        </w:rPr>
        <w:t>保险</w:t>
      </w:r>
      <w:r>
        <w:rPr>
          <w:rFonts w:hint="eastAsia" w:ascii="仿宋_GB2312" w:eastAsia="仿宋_GB2312"/>
          <w:sz w:val="32"/>
          <w:szCs w:val="32"/>
          <w:lang w:val="en-US" w:eastAsia="zh-CN"/>
        </w:rPr>
        <w:t>行</w:t>
      </w:r>
      <w:r>
        <w:rPr>
          <w:rFonts w:hint="eastAsia" w:ascii="仿宋_GB2312" w:eastAsia="仿宋_GB2312"/>
          <w:sz w:val="32"/>
          <w:szCs w:val="32"/>
        </w:rPr>
        <w:t>业协会统计，</w:t>
      </w:r>
      <w:r>
        <w:rPr>
          <w:rFonts w:ascii="仿宋_GB2312" w:eastAsia="仿宋_GB2312"/>
          <w:sz w:val="32"/>
          <w:szCs w:val="32"/>
        </w:rPr>
        <w:t>2021年至2022年上半年，保险业共投入防灾减灾资金6600余万元，投入防灾减灾人力7.9万人次，发送灾害预警信息服务1.18亿人次，协助救援受灾人员14.7万人次，协助救援受灾车辆21万辆次，捐赠保险保额40.8亿元。</w:t>
      </w:r>
      <w:r>
        <w:rPr>
          <w:rFonts w:hint="eastAsia" w:ascii="仿宋_GB2312" w:eastAsia="仿宋_GB2312"/>
          <w:sz w:val="32"/>
          <w:szCs w:val="32"/>
        </w:rPr>
        <w:t>6月，中国保险行业协会完成</w:t>
      </w:r>
      <w:r>
        <w:rPr>
          <w:rFonts w:hint="eastAsia" w:ascii="仿宋_GB2312" w:hAnsi="仿宋_GB2312" w:eastAsia="仿宋_GB2312" w:cs="仿宋_GB2312"/>
          <w:color w:val="000000"/>
          <w:sz w:val="32"/>
          <w:szCs w:val="32"/>
        </w:rPr>
        <w:t>《“十三五”时期保险行业巨灾保险发展报告</w:t>
      </w:r>
      <w:r>
        <w:rPr>
          <w:rFonts w:hint="eastAsia" w:ascii="仿宋_GB2312" w:eastAsia="仿宋_GB2312"/>
          <w:sz w:val="32"/>
          <w:szCs w:val="32"/>
        </w:rPr>
        <w:t>》编制。《报告》系统总结了</w:t>
      </w:r>
      <w:r>
        <w:rPr>
          <w:rFonts w:hint="eastAsia" w:ascii="仿宋_GB2312" w:hAnsi="仿宋_GB2312" w:eastAsia="仿宋_GB2312" w:cs="仿宋_GB2312"/>
          <w:color w:val="000000"/>
          <w:sz w:val="32"/>
          <w:szCs w:val="32"/>
        </w:rPr>
        <w:t>行业巨灾保险的发展情况，并提出下一步发展建议。报告显示：目前行业有</w:t>
      </w:r>
      <w:r>
        <w:rPr>
          <w:rFonts w:ascii="仿宋_GB2312" w:hAnsi="仿宋_GB2312" w:eastAsia="仿宋_GB2312" w:cs="仿宋_GB2312"/>
          <w:color w:val="000000"/>
          <w:sz w:val="32"/>
          <w:szCs w:val="32"/>
        </w:rPr>
        <w:t>67家财产险公司及再保险公司经营巨灾保险业务，保险业对19个“十三五”时期全国巨灾事件相关保险赔付总计约334.7亿元。</w:t>
      </w:r>
    </w:p>
    <w:p>
      <w:pPr>
        <w:shd w:val="clear" w:color="auto" w:fill="FEFEFE"/>
        <w:spacing w:line="560" w:lineRule="exact"/>
        <w:ind w:firstLine="643" w:firstLineChars="200"/>
        <w:rPr>
          <w:rFonts w:hint="eastAsia" w:ascii="黑体" w:hAnsi="黑体" w:eastAsia="黑体" w:cs="宋体"/>
          <w:b/>
          <w:color w:val="000000"/>
          <w:kern w:val="0"/>
          <w:sz w:val="32"/>
          <w:szCs w:val="32"/>
          <w:highlight w:val="none"/>
          <w:lang w:val="en-US" w:eastAsia="zh-CN"/>
        </w:rPr>
      </w:pPr>
      <w:r>
        <w:rPr>
          <w:rFonts w:hint="eastAsia" w:ascii="黑体" w:hAnsi="黑体" w:eastAsia="黑体" w:cs="宋体"/>
          <w:b/>
          <w:color w:val="000000"/>
          <w:kern w:val="0"/>
          <w:sz w:val="32"/>
          <w:szCs w:val="32"/>
          <w:highlight w:val="none"/>
          <w:lang w:val="en-US" w:eastAsia="zh-CN"/>
        </w:rPr>
        <w:t xml:space="preserve">七、2022年，保险业聚焦服务健康中国战略，深入探索商业健康保险创新发展新路径，全面贯彻落实《关于深化医疗保障制度改革的意见》关于“用足用好商业健康保险个人所得税政策，研究扩大保险产品范围”要求，积极助力多层次医疗保障体系建设，支持健康产业发展，努力满足人民群众日益增长的多元化高质量健康保障服务需求。 </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ascii="仿宋_GB2312" w:hAnsi="微软雅黑" w:eastAsia="仿宋_GB2312"/>
          <w:snapToGrid w:val="0"/>
          <w:color w:val="000000"/>
          <w:sz w:val="32"/>
          <w:szCs w:val="32"/>
        </w:rPr>
      </w:pPr>
      <w:r>
        <w:rPr>
          <w:rFonts w:hint="eastAsia" w:ascii="仿宋_GB2312" w:hAnsi="仿宋" w:eastAsia="仿宋_GB2312"/>
          <w:b/>
          <w:color w:val="000000"/>
          <w:sz w:val="32"/>
          <w:szCs w:val="32"/>
        </w:rPr>
        <w:t>概述：</w:t>
      </w:r>
      <w:r>
        <w:rPr>
          <w:rFonts w:hint="eastAsia" w:ascii="仿宋_GB2312" w:hAnsi="仿宋" w:eastAsia="仿宋_GB2312"/>
          <w:b w:val="0"/>
          <w:bCs/>
          <w:color w:val="000000"/>
          <w:sz w:val="32"/>
          <w:szCs w:val="32"/>
          <w:lang w:val="en-US" w:eastAsia="zh-CN"/>
        </w:rPr>
        <w:t>2022年</w:t>
      </w:r>
      <w:r>
        <w:rPr>
          <w:rFonts w:hint="eastAsia" w:ascii="仿宋_GB2312" w:hAnsi="仿宋" w:eastAsia="仿宋_GB2312"/>
          <w:color w:val="000000"/>
          <w:sz w:val="32"/>
          <w:szCs w:val="32"/>
        </w:rPr>
        <w:t>1月，</w:t>
      </w:r>
      <w:r>
        <w:rPr>
          <w:rFonts w:hint="eastAsia" w:ascii="仿宋_GB2312" w:hAnsi="仿宋" w:eastAsia="仿宋_GB2312"/>
          <w:color w:val="000000"/>
          <w:sz w:val="32"/>
          <w:szCs w:val="32"/>
          <w:lang w:val="en-US" w:eastAsia="zh-CN"/>
        </w:rPr>
        <w:t>中国</w:t>
      </w:r>
      <w:r>
        <w:rPr>
          <w:rFonts w:hint="eastAsia" w:ascii="仿宋_GB2312" w:hAnsi="仿宋" w:eastAsia="仿宋_GB2312"/>
          <w:color w:val="000000"/>
          <w:sz w:val="32"/>
          <w:szCs w:val="32"/>
        </w:rPr>
        <w:t>银</w:t>
      </w:r>
      <w:r>
        <w:rPr>
          <w:rFonts w:hint="eastAsia" w:ascii="仿宋_GB2312" w:hAnsi="微软雅黑" w:eastAsia="仿宋_GB2312" w:cs="微软雅黑"/>
          <w:color w:val="000000"/>
          <w:sz w:val="32"/>
          <w:szCs w:val="32"/>
        </w:rPr>
        <w:t>保监会印发《关于我国商业健康保险发展问题和建议的报告》，指出要深化供给侧改革，通过税收优惠等政策引导，吸引更多人群参保商业健康险。为贯彻落实《党中央 国务院关于深化医疗保障制度改革的意见》关于“用足用好商业健康保险个人所得税政策，研究扩大保险产品范围”的工作要求，5月，</w:t>
      </w:r>
      <w:r>
        <w:rPr>
          <w:rFonts w:hint="eastAsia" w:ascii="仿宋_GB2312" w:hAnsi="微软雅黑" w:eastAsia="仿宋_GB2312" w:cs="微软雅黑"/>
          <w:color w:val="000000"/>
          <w:sz w:val="32"/>
          <w:szCs w:val="32"/>
          <w:lang w:val="en-US" w:eastAsia="zh-CN"/>
        </w:rPr>
        <w:t>中国</w:t>
      </w:r>
      <w:r>
        <w:rPr>
          <w:rFonts w:hint="eastAsia" w:ascii="仿宋_GB2312" w:hAnsi="微软雅黑" w:eastAsia="仿宋_GB2312" w:cs="微软雅黑"/>
          <w:color w:val="000000"/>
          <w:sz w:val="32"/>
          <w:szCs w:val="32"/>
        </w:rPr>
        <w:t>银保监会与财政部、税务总局联合印发《关于进一步明确商业健康保险个人所得税优惠政策适用保险产品范围的通知》，指出符合个人税优政策规定的商业健康保险产品，其具体产品类型以及产品指引框架和示范条款由</w:t>
      </w:r>
      <w:r>
        <w:rPr>
          <w:rFonts w:hint="eastAsia" w:ascii="仿宋_GB2312" w:hAnsi="微软雅黑" w:eastAsia="仿宋_GB2312" w:cs="微软雅黑"/>
          <w:color w:val="000000"/>
          <w:sz w:val="32"/>
          <w:szCs w:val="32"/>
          <w:lang w:val="en-US" w:eastAsia="zh-CN"/>
        </w:rPr>
        <w:t>中国</w:t>
      </w:r>
      <w:r>
        <w:rPr>
          <w:rFonts w:hint="eastAsia" w:ascii="仿宋_GB2312" w:hAnsi="微软雅黑" w:eastAsia="仿宋_GB2312" w:cs="微软雅黑"/>
          <w:color w:val="000000"/>
          <w:sz w:val="32"/>
          <w:szCs w:val="32"/>
        </w:rPr>
        <w:t>银保监会商财政部、税务总局确定。</w:t>
      </w:r>
      <w:r>
        <w:rPr>
          <w:rFonts w:hint="eastAsia" w:ascii="仿宋_GB2312" w:hAnsi="微软雅黑" w:eastAsia="仿宋_GB2312" w:cs="微软雅黑"/>
          <w:snapToGrid w:val="0"/>
          <w:color w:val="000000"/>
          <w:sz w:val="32"/>
          <w:szCs w:val="32"/>
        </w:rPr>
        <w:t>11月，</w:t>
      </w:r>
      <w:r>
        <w:rPr>
          <w:rFonts w:hint="eastAsia" w:ascii="仿宋_GB2312" w:hAnsi="微软雅黑" w:eastAsia="仿宋_GB2312" w:cs="微软雅黑"/>
          <w:snapToGrid w:val="0"/>
          <w:color w:val="000000"/>
          <w:sz w:val="32"/>
          <w:szCs w:val="32"/>
          <w:lang w:val="en-US" w:eastAsia="zh-CN"/>
        </w:rPr>
        <w:t>中国</w:t>
      </w:r>
      <w:r>
        <w:rPr>
          <w:rFonts w:hint="eastAsia" w:ascii="仿宋_GB2312" w:hAnsi="微软雅黑" w:eastAsia="仿宋_GB2312"/>
          <w:snapToGrid w:val="0"/>
          <w:color w:val="000000"/>
          <w:sz w:val="32"/>
          <w:szCs w:val="32"/>
        </w:rPr>
        <w:t>银保监会</w:t>
      </w:r>
      <w:r>
        <w:rPr>
          <w:rFonts w:hint="eastAsia" w:ascii="仿宋_GB2312" w:hAnsi="微软雅黑" w:eastAsia="仿宋_GB2312"/>
          <w:snapToGrid w:val="0"/>
          <w:color w:val="000000"/>
          <w:sz w:val="32"/>
          <w:szCs w:val="32"/>
          <w:lang w:val="en-US" w:eastAsia="zh-CN"/>
        </w:rPr>
        <w:t>印发</w:t>
      </w:r>
      <w:r>
        <w:rPr>
          <w:rFonts w:hint="eastAsia" w:ascii="仿宋_GB2312" w:hAnsi="微软雅黑" w:eastAsia="仿宋_GB2312"/>
          <w:snapToGrid w:val="0"/>
          <w:color w:val="000000"/>
          <w:sz w:val="32"/>
          <w:szCs w:val="32"/>
        </w:rPr>
        <w:t>《关于扩大商业健康保险个人所得税优惠政策适用产品范围有关事项的通知（征求意见稿）》，拟将税优政策产品范畴扩展至全部满足条件的主流健康险产品，包括疾病险、医疗险、护理险等，未来人民群众可选择的税优健康险产品类型将显著丰富。</w:t>
      </w:r>
    </w:p>
    <w:p>
      <w:pPr>
        <w:keepNext w:val="0"/>
        <w:keepLines w:val="0"/>
        <w:pageBreakBefore w:val="0"/>
        <w:shd w:val="clear" w:color="auto" w:fill="FEFEFE"/>
        <w:kinsoku/>
        <w:wordWrap/>
        <w:overflowPunct/>
        <w:topLinePunct w:val="0"/>
        <w:autoSpaceDE/>
        <w:autoSpaceDN/>
        <w:bidi w:val="0"/>
        <w:spacing w:beforeAutospacing="0" w:afterAutospacing="0" w:line="560" w:lineRule="exact"/>
        <w:ind w:firstLine="640" w:firstLineChars="200"/>
        <w:textAlignment w:val="auto"/>
        <w:rPr>
          <w:rFonts w:ascii="仿宋_GB2312" w:hAnsi="Arial" w:eastAsia="仿宋_GB2312" w:cs="Arial"/>
          <w:color w:val="222222"/>
          <w:sz w:val="32"/>
          <w:szCs w:val="32"/>
          <w:shd w:val="clear" w:color="auto" w:fill="FFFFFF"/>
        </w:rPr>
      </w:pPr>
      <w:r>
        <w:rPr>
          <w:rFonts w:hint="eastAsia" w:ascii="仿宋_GB2312" w:hAnsi="仿宋" w:eastAsia="仿宋_GB2312"/>
          <w:color w:val="000000"/>
          <w:kern w:val="0"/>
          <w:sz w:val="32"/>
          <w:szCs w:val="32"/>
        </w:rPr>
        <w:t>2022年，长期护理保险成为社会各界关注的热点。2月，国务院发布《关于印发“十四五”国家老龄事业发展和养老服务体系规划》，提出要研究建立寿险赔付责任与护理支付责任转换机制，支持被保险人在失能时提前获得保险金给付，用于护理费用支出。</w:t>
      </w:r>
      <w:r>
        <w:rPr>
          <w:rFonts w:hint="eastAsia" w:ascii="仿宋_GB2312" w:hAnsi="微软雅黑" w:eastAsia="仿宋_GB2312"/>
          <w:color w:val="000000"/>
          <w:sz w:val="32"/>
          <w:szCs w:val="32"/>
        </w:rPr>
        <w:t>9月，中国保险行业协会在京发布《中国商业护理保险发展机遇——中国城镇地区长期护理服务保障研究报告》，报告指出到2040年我国城镇地区老年人护理服务需求将达到近7万亿元，为应对我国人口老龄化进程加速、家庭结构变化等挑战，缓解社保基金的支出压力，商业护理保险可以在加强老年人失能风险保障、提升服务水平、满足人民群众多层次多元化服务需求等方面发挥更重要的作用。10月，</w:t>
      </w:r>
      <w:r>
        <w:rPr>
          <w:rFonts w:hint="eastAsia" w:ascii="仿宋_GB2312" w:hAnsi="微软雅黑" w:eastAsia="仿宋_GB2312"/>
          <w:color w:val="000000"/>
          <w:sz w:val="32"/>
          <w:szCs w:val="32"/>
          <w:lang w:val="en-US" w:eastAsia="zh-CN"/>
        </w:rPr>
        <w:t>中国</w:t>
      </w:r>
      <w:r>
        <w:rPr>
          <w:rFonts w:hint="eastAsia" w:ascii="仿宋_GB2312" w:hAnsi="微软雅黑" w:eastAsia="仿宋_GB2312"/>
          <w:color w:val="000000"/>
          <w:sz w:val="32"/>
          <w:szCs w:val="32"/>
        </w:rPr>
        <w:t>银保监会</w:t>
      </w:r>
      <w:r>
        <w:rPr>
          <w:rFonts w:hint="eastAsia" w:ascii="仿宋_GB2312" w:hAnsi="微软雅黑" w:eastAsia="仿宋_GB2312"/>
          <w:color w:val="000000"/>
          <w:sz w:val="32"/>
          <w:szCs w:val="32"/>
          <w:lang w:val="en-US" w:eastAsia="zh-CN"/>
        </w:rPr>
        <w:t>印发</w:t>
      </w:r>
      <w:r>
        <w:rPr>
          <w:rFonts w:hint="eastAsia" w:ascii="仿宋_GB2312" w:hAnsi="微软雅黑" w:eastAsia="仿宋_GB2312"/>
          <w:color w:val="000000"/>
          <w:sz w:val="32"/>
          <w:szCs w:val="32"/>
        </w:rPr>
        <w:t>《关于开展人寿保险与长期护理保险责任转换业务试点的通知（征求意见稿）》，决定自明年起开展人寿保险与长期护理保险责任转换</w:t>
      </w:r>
      <w:r>
        <w:rPr>
          <w:rFonts w:hint="eastAsia" w:ascii="仿宋_GB2312" w:hAnsi="Arial" w:eastAsia="仿宋_GB2312" w:cs="Arial"/>
          <w:color w:val="000000"/>
          <w:sz w:val="32"/>
          <w:szCs w:val="32"/>
          <w:shd w:val="clear" w:color="auto" w:fill="FFFFFF"/>
        </w:rPr>
        <w:t>业务试点，此举有望</w:t>
      </w:r>
      <w:r>
        <w:rPr>
          <w:rFonts w:hint="eastAsia" w:ascii="仿宋_GB2312" w:hAnsi="微软雅黑" w:eastAsia="仿宋_GB2312"/>
          <w:color w:val="000000"/>
          <w:sz w:val="32"/>
          <w:szCs w:val="32"/>
          <w:shd w:val="clear" w:color="auto" w:fill="FFFFFF"/>
        </w:rPr>
        <w:t>助推商业长期护理保险的发展，提升社会大众对于护理保险的认知和意识。与此同时，保险业积极参与国家长期护理保险制度试点，助力制度落地和经验积累，增强参保群众的获得感和幸福感。截至</w:t>
      </w:r>
      <w:r>
        <w:rPr>
          <w:rFonts w:hint="eastAsia" w:ascii="仿宋_GB2312" w:hAnsi="Arial" w:eastAsia="仿宋_GB2312" w:cs="Arial"/>
          <w:color w:val="222222"/>
          <w:sz w:val="32"/>
          <w:szCs w:val="32"/>
          <w:shd w:val="clear" w:color="auto" w:fill="FFFFFF"/>
        </w:rPr>
        <w:t>6月底，</w:t>
      </w:r>
      <w:r>
        <w:rPr>
          <w:rFonts w:hint="eastAsia" w:ascii="仿宋_GB2312" w:hAnsi="微软雅黑" w:eastAsia="仿宋_GB2312"/>
          <w:color w:val="000000"/>
          <w:sz w:val="32"/>
          <w:szCs w:val="32"/>
          <w:shd w:val="clear" w:color="auto" w:fill="FFFFFF"/>
        </w:rPr>
        <w:t>保险业参与长期护理保险试点服务</w:t>
      </w:r>
      <w:r>
        <w:rPr>
          <w:rFonts w:hint="eastAsia" w:ascii="仿宋_GB2312" w:hAnsi="Arial" w:eastAsia="仿宋_GB2312" w:cs="Arial"/>
          <w:color w:val="222222"/>
          <w:sz w:val="32"/>
          <w:szCs w:val="32"/>
          <w:shd w:val="clear" w:color="auto" w:fill="FFFFFF"/>
        </w:rPr>
        <w:t>已覆盖49个城市、1.45亿人，累计有178万人享受待遇。</w:t>
      </w:r>
    </w:p>
    <w:p>
      <w:pPr>
        <w:keepNext w:val="0"/>
        <w:keepLines w:val="0"/>
        <w:pageBreakBefore w:val="0"/>
        <w:shd w:val="clear" w:color="auto" w:fill="FEFEFE"/>
        <w:kinsoku/>
        <w:wordWrap/>
        <w:overflowPunct/>
        <w:topLinePunct w:val="0"/>
        <w:autoSpaceDE/>
        <w:autoSpaceDN/>
        <w:bidi w:val="0"/>
        <w:spacing w:beforeAutospacing="0" w:afterAutospacing="0" w:line="560" w:lineRule="exact"/>
        <w:ind w:firstLine="640" w:firstLineChars="200"/>
        <w:textAlignment w:val="auto"/>
        <w:rPr>
          <w:rFonts w:hint="eastAsia" w:ascii="仿宋_GB2312" w:eastAsia="仿宋_GB2312"/>
          <w:bCs/>
          <w:kern w:val="0"/>
          <w:sz w:val="32"/>
          <w:szCs w:val="32"/>
        </w:rPr>
      </w:pPr>
      <w:r>
        <w:rPr>
          <w:rFonts w:hint="eastAsia" w:ascii="仿宋_GB2312" w:hAnsi="Arial" w:eastAsia="仿宋_GB2312" w:cs="Arial"/>
          <w:color w:val="222222"/>
          <w:sz w:val="32"/>
          <w:szCs w:val="32"/>
          <w:shd w:val="clear" w:color="auto" w:fill="FFFFFF"/>
        </w:rPr>
        <w:t>党的二十大报告强调，要促进多层次医疗保障有序衔接，积极发展商业医疗保险。2022年，保险业深入探索</w:t>
      </w:r>
      <w:r>
        <w:rPr>
          <w:rFonts w:hint="eastAsia" w:ascii="仿宋_GB2312" w:eastAsia="仿宋_GB2312"/>
          <w:sz w:val="32"/>
          <w:szCs w:val="32"/>
        </w:rPr>
        <w:t>商业健康保险</w:t>
      </w:r>
      <w:r>
        <w:rPr>
          <w:rFonts w:hint="eastAsia" w:ascii="仿宋_GB2312" w:hAnsi="黑体" w:eastAsia="仿宋_GB2312" w:cs="宋体"/>
          <w:color w:val="000000"/>
          <w:kern w:val="0"/>
          <w:sz w:val="32"/>
          <w:szCs w:val="32"/>
        </w:rPr>
        <w:t>创新发展新路径，</w:t>
      </w:r>
      <w:r>
        <w:rPr>
          <w:rFonts w:hint="eastAsia" w:ascii="仿宋_GB2312" w:eastAsia="仿宋_GB2312"/>
          <w:sz w:val="32"/>
          <w:szCs w:val="32"/>
        </w:rPr>
        <w:t>不断进行产品和服务模式创新，在产品</w:t>
      </w:r>
      <w:r>
        <w:rPr>
          <w:rFonts w:hint="eastAsia" w:ascii="仿宋_GB2312" w:eastAsia="仿宋_GB2312"/>
          <w:bCs/>
          <w:kern w:val="0"/>
          <w:sz w:val="32"/>
          <w:szCs w:val="32"/>
        </w:rPr>
        <w:t>长期化、保障责任混合化、人群覆盖普及化等方面取得了长足的进步，</w:t>
      </w:r>
      <w:r>
        <w:rPr>
          <w:rFonts w:hint="eastAsia" w:ascii="仿宋_GB2312" w:hAnsi="微软雅黑" w:eastAsia="仿宋_GB2312"/>
          <w:color w:val="000000"/>
          <w:sz w:val="32"/>
          <w:szCs w:val="32"/>
          <w:shd w:val="clear" w:color="auto" w:fill="FFFFFF"/>
        </w:rPr>
        <w:t>积极推动商业健康险从以“疾病”为中心向以“健康”为中心转变，已有15家公司备案39款费率可调长期医疗险产品，有效解决因被保险人健康状况变化可能无法续保的问题。</w:t>
      </w:r>
      <w:r>
        <w:rPr>
          <w:rFonts w:hint="eastAsia" w:ascii="仿宋_GB2312" w:eastAsia="仿宋_GB2312"/>
          <w:bCs/>
          <w:kern w:val="0"/>
          <w:sz w:val="32"/>
          <w:szCs w:val="32"/>
        </w:rPr>
        <w:t>越来越多的保险企业创新推出针对亚健康人群、“次标体”相关保险产品，已覆盖高血压、糖尿病、甲状腺/乳腺结节等多种疾病。</w:t>
      </w:r>
    </w:p>
    <w:p>
      <w:pPr>
        <w:shd w:val="clear" w:color="auto" w:fill="FEFEFE"/>
        <w:spacing w:line="560" w:lineRule="exact"/>
        <w:ind w:firstLine="643" w:firstLineChars="200"/>
        <w:rPr>
          <w:rFonts w:hint="eastAsia" w:ascii="黑体" w:hAnsi="黑体" w:eastAsia="黑体" w:cs="宋体"/>
          <w:b/>
          <w:color w:val="000000"/>
          <w:kern w:val="0"/>
          <w:sz w:val="32"/>
          <w:szCs w:val="32"/>
          <w:highlight w:val="none"/>
          <w:lang w:val="en-US" w:eastAsia="zh-CN"/>
        </w:rPr>
      </w:pPr>
      <w:r>
        <w:rPr>
          <w:rFonts w:hint="eastAsia" w:ascii="黑体" w:hAnsi="黑体" w:eastAsia="黑体" w:cs="宋体"/>
          <w:b/>
          <w:color w:val="000000"/>
          <w:kern w:val="0"/>
          <w:sz w:val="32"/>
          <w:szCs w:val="32"/>
          <w:highlight w:val="none"/>
          <w:lang w:val="en-US" w:eastAsia="zh-CN"/>
        </w:rPr>
        <w:t>八、2022年，保险业进一步贯彻落实党中央关于碳达峰碳中和目标的战略部署，制定《银行业保险业绿色金融指引》，立足新发展阶段，贯彻新发展理念，凝聚行业力量、强化工作举措，建立健全制度和标准体系，全方位助推经济社会绿色转型发展。</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ascii="仿宋_GB2312" w:hAnsi="仿宋" w:eastAsia="仿宋_GB2312"/>
          <w:color w:val="333333"/>
          <w:sz w:val="32"/>
          <w:szCs w:val="32"/>
        </w:rPr>
      </w:pPr>
      <w:r>
        <w:rPr>
          <w:rFonts w:hint="eastAsia" w:ascii="仿宋_GB2312" w:hAnsi="仿宋" w:eastAsia="仿宋_GB2312"/>
          <w:b/>
          <w:bCs/>
          <w:color w:val="000000"/>
          <w:sz w:val="32"/>
          <w:szCs w:val="32"/>
        </w:rPr>
        <w:t>概述：</w:t>
      </w:r>
      <w:r>
        <w:rPr>
          <w:rFonts w:hint="eastAsia" w:ascii="仿宋_GB2312" w:hAnsi="仿宋" w:eastAsia="仿宋_GB2312"/>
          <w:b w:val="0"/>
          <w:bCs w:val="0"/>
          <w:color w:val="000000"/>
          <w:sz w:val="32"/>
          <w:szCs w:val="32"/>
          <w:lang w:val="en-US" w:eastAsia="zh-CN"/>
        </w:rPr>
        <w:t>2022年</w:t>
      </w:r>
      <w:r>
        <w:rPr>
          <w:rFonts w:hint="eastAsia" w:ascii="仿宋_GB2312" w:hAnsi="仿宋" w:eastAsia="仿宋_GB2312"/>
          <w:color w:val="000000"/>
          <w:sz w:val="32"/>
          <w:szCs w:val="32"/>
        </w:rPr>
        <w:t>6月1日，中国银保监会印发《</w:t>
      </w:r>
      <w:r>
        <w:rPr>
          <w:rFonts w:hint="eastAsia" w:ascii="仿宋_GB2312" w:hAnsi="微软雅黑" w:eastAsia="仿宋_GB2312"/>
          <w:color w:val="333333"/>
          <w:sz w:val="32"/>
          <w:szCs w:val="32"/>
        </w:rPr>
        <w:t>银行业保险业绿色金融指引</w:t>
      </w:r>
      <w:r>
        <w:rPr>
          <w:rFonts w:hint="eastAsia" w:ascii="仿宋_GB2312" w:hAnsi="仿宋" w:eastAsia="仿宋_GB2312"/>
          <w:color w:val="000000"/>
          <w:sz w:val="32"/>
          <w:szCs w:val="32"/>
        </w:rPr>
        <w:t>》。</w:t>
      </w:r>
      <w:r>
        <w:rPr>
          <w:rFonts w:hint="eastAsia" w:ascii="仿宋_GB2312" w:hAnsi="仿宋" w:eastAsia="仿宋_GB2312"/>
          <w:color w:val="333333"/>
          <w:sz w:val="32"/>
          <w:szCs w:val="32"/>
        </w:rPr>
        <w:t>要求保险机构深入贯彻落实新发展理念，加大对绿色、低碳、循环经济的支持，防范环境、社会和治理风险，提升自身的环境、社会和治理表现，促进经济社会发展全面绿色转型。明确建立绿色金融考核评价体系，确保绿色金融持续有效开展。</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color w:val="333333"/>
          <w:sz w:val="32"/>
          <w:szCs w:val="32"/>
          <w:shd w:val="clear" w:color="auto" w:fill="FEFEFE"/>
        </w:rPr>
      </w:pPr>
      <w:r>
        <w:rPr>
          <w:rFonts w:hint="eastAsia" w:ascii="仿宋_GB2312" w:hAnsi="仿宋" w:eastAsia="仿宋_GB2312"/>
          <w:color w:val="333333"/>
          <w:sz w:val="32"/>
          <w:szCs w:val="32"/>
        </w:rPr>
        <w:t>11月，中国银保监会</w:t>
      </w:r>
      <w:r>
        <w:rPr>
          <w:rFonts w:hint="eastAsia" w:ascii="仿宋_GB2312" w:hAnsi="仿宋" w:eastAsia="仿宋_GB2312"/>
          <w:color w:val="333333"/>
          <w:sz w:val="32"/>
          <w:szCs w:val="32"/>
          <w:shd w:val="clear" w:color="auto" w:fill="FEFEFE"/>
        </w:rPr>
        <w:t>印发《绿色保险业务统计制度的通知》，首次对绿色保险进行了定义，主要从保险产品和保险客户两个维度出发，统计绿色保险业务承保和理赔情况。《通知》的出台，实现了对绿色保险的量化统计，对促进保险业在建立健全绿色低碳循环发展经济体系、促进经济社会发展全面绿色转型中发挥积极作用有着十分重要的意义。</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eastAsia="仿宋_GB2312"/>
          <w:bCs/>
          <w:kern w:val="0"/>
          <w:sz w:val="32"/>
          <w:szCs w:val="32"/>
          <w:lang w:val="en-US" w:eastAsia="zh-CN"/>
        </w:rPr>
      </w:pPr>
      <w:r>
        <w:rPr>
          <w:rFonts w:hint="eastAsia" w:ascii="仿宋_GB2312" w:hAnsi="仿宋" w:eastAsia="仿宋_GB2312"/>
          <w:color w:val="333333"/>
          <w:sz w:val="32"/>
          <w:szCs w:val="32"/>
          <w:shd w:val="clear" w:color="auto" w:fill="FEFEFE"/>
        </w:rPr>
        <w:t>中国保险行业协会积极推进绿色保险行业自律和研究工作。</w:t>
      </w:r>
      <w:r>
        <w:rPr>
          <w:rFonts w:hint="eastAsia" w:ascii="仿宋_GB2312" w:eastAsia="仿宋_GB2312" w:cs="仿宋_GB2312"/>
          <w:color w:val="000000"/>
          <w:sz w:val="32"/>
          <w:szCs w:val="32"/>
        </w:rPr>
        <w:t>《绿色保险分类指引（征求意见稿）》等绿色保险自律文件，引领保险业提高政治站位、</w:t>
      </w:r>
      <w:r>
        <w:rPr>
          <w:rFonts w:hint="eastAsia" w:ascii="仿宋_GB2312" w:hAnsi="仿宋_GB2312" w:eastAsia="仿宋_GB2312" w:cs="仿宋_GB2312"/>
          <w:color w:val="333333"/>
          <w:sz w:val="32"/>
          <w:szCs w:val="32"/>
          <w:shd w:val="clear" w:color="auto" w:fill="FEFEFE"/>
        </w:rPr>
        <w:t>积极践行ESG理念、加强</w:t>
      </w:r>
      <w:r>
        <w:rPr>
          <w:rFonts w:hint="eastAsia" w:ascii="仿宋_GB2312" w:eastAsia="仿宋_GB2312" w:cs="仿宋_GB2312"/>
          <w:color w:val="000000"/>
          <w:sz w:val="32"/>
          <w:szCs w:val="32"/>
        </w:rPr>
        <w:t>数据治理、提升绿色保障、服务国家战略。持续推进服务双碳战略和绿色发展系列课题研究，重点</w:t>
      </w:r>
      <w:r>
        <w:rPr>
          <w:rFonts w:hint="eastAsia" w:ascii="仿宋" w:hAnsi="仿宋" w:eastAsia="仿宋" w:cs="仿宋"/>
          <w:sz w:val="32"/>
          <w:szCs w:val="32"/>
        </w:rPr>
        <w:t>研究</w:t>
      </w:r>
      <w:r>
        <w:rPr>
          <w:rFonts w:hint="eastAsia" w:ascii="仿宋_GB2312" w:eastAsia="仿宋_GB2312" w:cs="仿宋_GB2312"/>
          <w:color w:val="000000"/>
          <w:sz w:val="32"/>
          <w:szCs w:val="32"/>
        </w:rPr>
        <w:t>制定并发布了《发电企业（包括燃煤发电、水力发电、海上风电、陆上风电和光伏发电）保险风险评估工作指引》，</w:t>
      </w:r>
      <w:r>
        <w:rPr>
          <w:rFonts w:hint="eastAsia" w:ascii="仿宋" w:hAnsi="仿宋" w:eastAsia="仿宋" w:cs="仿宋"/>
          <w:sz w:val="32"/>
          <w:szCs w:val="32"/>
        </w:rPr>
        <w:t>为国家能源安全新战略和电力行业“双碳”目标达成保驾护航。</w:t>
      </w:r>
    </w:p>
    <w:p>
      <w:pPr>
        <w:keepNext w:val="0"/>
        <w:keepLines w:val="0"/>
        <w:pageBreakBefore w:val="0"/>
        <w:shd w:val="clear" w:color="auto" w:fill="FEFEFE"/>
        <w:kinsoku/>
        <w:wordWrap/>
        <w:overflowPunct/>
        <w:topLinePunct w:val="0"/>
        <w:autoSpaceDE/>
        <w:autoSpaceDN/>
        <w:bidi w:val="0"/>
        <w:spacing w:beforeAutospacing="0" w:afterAutospacing="0" w:line="560" w:lineRule="exact"/>
        <w:ind w:firstLine="643" w:firstLineChars="200"/>
        <w:textAlignment w:val="auto"/>
        <w:rPr>
          <w:rFonts w:hint="eastAsia" w:ascii="黑体" w:hAnsi="黑体" w:eastAsia="黑体" w:cs="宋体"/>
          <w:b/>
          <w:color w:val="000000"/>
          <w:kern w:val="0"/>
          <w:sz w:val="32"/>
          <w:szCs w:val="32"/>
          <w:highlight w:val="none"/>
          <w:lang w:val="en-US" w:eastAsia="zh-CN"/>
        </w:rPr>
      </w:pPr>
      <w:r>
        <w:rPr>
          <w:rFonts w:hint="eastAsia" w:ascii="黑体" w:hAnsi="黑体" w:eastAsia="黑体" w:cs="宋体"/>
          <w:b/>
          <w:color w:val="000000"/>
          <w:kern w:val="0"/>
          <w:sz w:val="32"/>
          <w:szCs w:val="32"/>
          <w:highlight w:val="none"/>
          <w:lang w:val="en-US" w:eastAsia="zh-CN"/>
        </w:rPr>
        <w:t>九、2022年，保险业全面提升保险公司个人信息保护合规管理能力，不断强化保险行业法治化水平，持续加大整治“代理退保”黑产乱象的力度，维护行业正常经营秩序，切实保障保险消费者合法权益。</w:t>
      </w:r>
    </w:p>
    <w:p>
      <w:pPr>
        <w:keepNext w:val="0"/>
        <w:keepLines w:val="0"/>
        <w:pageBreakBefore w:val="0"/>
        <w:shd w:val="clear" w:color="auto" w:fill="FEFEFE"/>
        <w:kinsoku/>
        <w:wordWrap/>
        <w:overflowPunct/>
        <w:topLinePunct w:val="0"/>
        <w:autoSpaceDE/>
        <w:autoSpaceDN/>
        <w:bidi w:val="0"/>
        <w:spacing w:beforeAutospacing="0" w:afterAutospacing="0" w:line="560" w:lineRule="exact"/>
        <w:ind w:firstLine="643" w:firstLineChars="200"/>
        <w:textAlignment w:val="auto"/>
        <w:rPr>
          <w:rFonts w:ascii="仿宋" w:hAnsi="仿宋" w:eastAsia="仿宋"/>
          <w:sz w:val="32"/>
          <w:szCs w:val="32"/>
        </w:rPr>
      </w:pPr>
      <w:r>
        <w:rPr>
          <w:rFonts w:hint="eastAsia" w:ascii="仿宋_GB2312" w:hAnsi="仿宋" w:eastAsia="仿宋_GB2312" w:cs="宋体"/>
          <w:b/>
          <w:color w:val="000000"/>
          <w:kern w:val="0"/>
          <w:sz w:val="32"/>
          <w:szCs w:val="32"/>
        </w:rPr>
        <w:t>概述</w:t>
      </w:r>
      <w:r>
        <w:rPr>
          <w:rFonts w:hint="eastAsia" w:ascii="仿宋" w:hAnsi="仿宋" w:eastAsia="仿宋"/>
          <w:sz w:val="32"/>
          <w:szCs w:val="32"/>
        </w:rPr>
        <w:t>：</w:t>
      </w:r>
      <w:r>
        <w:rPr>
          <w:rFonts w:ascii="仿宋" w:hAnsi="仿宋" w:eastAsia="仿宋"/>
          <w:sz w:val="32"/>
          <w:szCs w:val="32"/>
        </w:rPr>
        <w:t>2021年8月20日由第十三届全国人大常委会通过，并于同年11月1日实施的《中华人民共和国个人信息保护法》，从国家层面为个人信息保护提供了基础性法律制度安排，为加强我国个人信息保护提供了更有力的法律保障。</w:t>
      </w:r>
      <w:r>
        <w:rPr>
          <w:rFonts w:hint="eastAsia" w:ascii="仿宋" w:hAnsi="仿宋" w:eastAsia="仿宋"/>
          <w:sz w:val="32"/>
          <w:szCs w:val="32"/>
          <w:lang w:val="en-US" w:eastAsia="zh-CN"/>
        </w:rPr>
        <w:t>2022</w:t>
      </w:r>
      <w:r>
        <w:rPr>
          <w:rFonts w:hint="eastAsia" w:ascii="仿宋" w:hAnsi="仿宋" w:eastAsia="仿宋"/>
          <w:sz w:val="32"/>
          <w:szCs w:val="32"/>
        </w:rPr>
        <w:t>年9月14日，中国保险行业协会</w:t>
      </w:r>
      <w:r>
        <w:rPr>
          <w:rFonts w:hint="eastAsia" w:ascii="仿宋" w:hAnsi="仿宋" w:eastAsia="仿宋"/>
          <w:sz w:val="32"/>
          <w:szCs w:val="32"/>
          <w:lang w:val="en-US" w:eastAsia="zh-CN"/>
        </w:rPr>
        <w:t>结合</w:t>
      </w:r>
      <w:r>
        <w:rPr>
          <w:rFonts w:hint="eastAsia" w:ascii="仿宋" w:hAnsi="仿宋" w:eastAsia="仿宋"/>
          <w:sz w:val="32"/>
          <w:szCs w:val="32"/>
        </w:rPr>
        <w:t>保险公司收集、储存、使用个人信息存在体量大、范围广、敏感度高、涉及业务流程复杂等特点</w:t>
      </w:r>
      <w:r>
        <w:rPr>
          <w:rFonts w:hint="eastAsia" w:ascii="仿宋" w:hAnsi="仿宋" w:eastAsia="仿宋"/>
          <w:sz w:val="32"/>
          <w:szCs w:val="32"/>
          <w:lang w:eastAsia="zh-CN"/>
        </w:rPr>
        <w:t>，</w:t>
      </w:r>
      <w:r>
        <w:rPr>
          <w:rFonts w:hint="eastAsia" w:ascii="仿宋" w:hAnsi="仿宋" w:eastAsia="仿宋"/>
          <w:sz w:val="32"/>
          <w:szCs w:val="32"/>
        </w:rPr>
        <w:t>著作出版《保险公司个人信息保护实务研究》，《实务研究》顺应个人信息保护时代趋势，聚焦保险公司个人信息保护的新动向、新趋势、新特点，直面保险公司个人信息保护的痛点、难点、堵点，全面梳理相关问题的境内外立法现状，并辅以具体案例剖析，为保险公司个人信息保护提出更具建设性的实务建议，以期保障保险公司数据合规经营并实现个人信息保护最大化。</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eastAsia="仿宋_GB2312"/>
          <w:sz w:val="32"/>
          <w:szCs w:val="32"/>
        </w:rPr>
      </w:pPr>
      <w:r>
        <w:rPr>
          <w:rFonts w:ascii="仿宋_GB2312" w:hAnsi="仿宋" w:eastAsia="仿宋_GB2312" w:cs="仿宋"/>
          <w:sz w:val="32"/>
          <w:szCs w:val="32"/>
        </w:rPr>
        <w:t>2022</w:t>
      </w:r>
      <w:r>
        <w:rPr>
          <w:rFonts w:hint="eastAsia" w:ascii="仿宋_GB2312" w:hAnsi="仿宋_GB2312" w:eastAsia="仿宋_GB2312"/>
          <w:sz w:val="32"/>
          <w:szCs w:val="32"/>
        </w:rPr>
        <w:t>年，</w:t>
      </w:r>
      <w:r>
        <w:rPr>
          <w:rFonts w:hint="eastAsia" w:ascii="仿宋_GB2312" w:hAnsi="仿宋" w:eastAsia="仿宋_GB2312"/>
          <w:color w:val="000000"/>
          <w:kern w:val="0"/>
          <w:sz w:val="32"/>
          <w:szCs w:val="32"/>
        </w:rPr>
        <w:t>中国</w:t>
      </w:r>
      <w:r>
        <w:rPr>
          <w:rFonts w:hint="eastAsia" w:ascii="仿宋_GB2312" w:hAnsi="仿宋_GB2312" w:eastAsia="仿宋_GB2312"/>
          <w:sz w:val="32"/>
          <w:szCs w:val="32"/>
        </w:rPr>
        <w:t>银保监会和各地监管局连续发布防范</w:t>
      </w:r>
      <w:r>
        <w:rPr>
          <w:rFonts w:hint="eastAsia" w:ascii="仿宋_GB2312" w:hAnsi="黑体" w:eastAsia="仿宋_GB2312" w:cs="仿宋_GB2312"/>
          <w:color w:val="000000"/>
          <w:sz w:val="32"/>
          <w:szCs w:val="32"/>
        </w:rPr>
        <w:t>“代理退保”风险提示，提示消费者</w:t>
      </w:r>
      <w:r>
        <w:rPr>
          <w:rFonts w:hint="eastAsia" w:ascii="仿宋_GB2312" w:hAnsi="仿宋" w:eastAsia="仿宋_GB2312" w:cs="仿宋"/>
          <w:sz w:val="32"/>
          <w:szCs w:val="32"/>
        </w:rPr>
        <w:t>加强个人信息保护，关注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代理退保</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风险，引导消费者通过正规途径依法合理维权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中国</w:t>
      </w:r>
      <w:r>
        <w:rPr>
          <w:rFonts w:hint="eastAsia" w:ascii="仿宋_GB2312" w:hAnsi="仿宋" w:eastAsia="仿宋_GB2312" w:cs="仿宋"/>
          <w:sz w:val="32"/>
          <w:szCs w:val="32"/>
        </w:rPr>
        <w:t>银保监会发布《关于调整银行业保险业消费投诉统计和通报口径的通知》，</w:t>
      </w:r>
      <w:r>
        <w:rPr>
          <w:rFonts w:hint="eastAsia" w:ascii="仿宋_GB2312" w:hAnsi="黑体" w:eastAsia="仿宋_GB2312" w:cs="仿宋_GB2312"/>
          <w:color w:val="000000"/>
          <w:sz w:val="32"/>
          <w:szCs w:val="32"/>
        </w:rPr>
        <w:t>对消费投诉统计和通报口径进行调整，坚决遏制恶意重复投诉</w:t>
      </w:r>
      <w:r>
        <w:rPr>
          <w:rFonts w:hint="eastAsia" w:ascii="仿宋_GB2312" w:hAnsi="黑体" w:eastAsia="仿宋_GB2312" w:cs="仿宋_GB2312"/>
          <w:color w:val="000000"/>
          <w:sz w:val="32"/>
          <w:szCs w:val="32"/>
          <w:lang w:eastAsia="zh-CN"/>
        </w:rPr>
        <w:t>；</w:t>
      </w:r>
      <w:r>
        <w:rPr>
          <w:rFonts w:hint="eastAsia" w:ascii="仿宋_GB2312" w:eastAsia="仿宋_GB2312"/>
          <w:sz w:val="32"/>
          <w:szCs w:val="32"/>
          <w:lang w:val="en-US" w:eastAsia="zh-CN"/>
        </w:rPr>
        <w:t>印</w:t>
      </w:r>
      <w:r>
        <w:rPr>
          <w:rFonts w:ascii="仿宋_GB2312" w:eastAsia="仿宋_GB2312"/>
          <w:sz w:val="32"/>
          <w:szCs w:val="32"/>
        </w:rPr>
        <w:t>发《关于深入整治</w:t>
      </w:r>
      <w:r>
        <w:rPr>
          <w:rFonts w:hint="eastAsia" w:ascii="仿宋_GB2312" w:eastAsia="仿宋_GB2312"/>
          <w:sz w:val="32"/>
          <w:szCs w:val="32"/>
          <w:lang w:eastAsia="zh-CN"/>
        </w:rPr>
        <w:t>“</w:t>
      </w:r>
      <w:r>
        <w:rPr>
          <w:rFonts w:ascii="仿宋_GB2312" w:eastAsia="仿宋_GB2312"/>
          <w:sz w:val="32"/>
          <w:szCs w:val="32"/>
        </w:rPr>
        <w:t>代理退保</w:t>
      </w:r>
      <w:r>
        <w:rPr>
          <w:rFonts w:hint="eastAsia" w:ascii="仿宋_GB2312" w:eastAsia="仿宋_GB2312"/>
          <w:sz w:val="32"/>
          <w:szCs w:val="32"/>
          <w:lang w:eastAsia="zh-CN"/>
        </w:rPr>
        <w:t>”</w:t>
      </w:r>
      <w:r>
        <w:rPr>
          <w:rFonts w:ascii="仿宋_GB2312" w:eastAsia="仿宋_GB2312"/>
          <w:sz w:val="32"/>
          <w:szCs w:val="32"/>
        </w:rPr>
        <w:t>黑产乱象的通知》</w:t>
      </w:r>
      <w:r>
        <w:rPr>
          <w:rFonts w:hint="eastAsia" w:ascii="仿宋_GB2312" w:eastAsia="仿宋_GB2312"/>
          <w:sz w:val="32"/>
          <w:szCs w:val="32"/>
        </w:rPr>
        <w:t>，从强化行业自律、强化销售管理、畅通投诉维权渠道、强化线索筛查、清理虚假广告以及开展行业宣传等方面提出要求，指导行业深入开展治理。</w:t>
      </w:r>
      <w:r>
        <w:rPr>
          <w:rFonts w:hint="eastAsia" w:ascii="仿宋_GB2312" w:eastAsia="仿宋_GB2312" w:hAnsiTheme="minorHAnsi" w:cstheme="minorBidi"/>
          <w:sz w:val="32"/>
          <w:szCs w:val="32"/>
        </w:rPr>
        <w:t>中国保险行业协会</w:t>
      </w:r>
      <w:r>
        <w:rPr>
          <w:rFonts w:hint="eastAsia" w:ascii="仿宋_GB2312" w:eastAsia="仿宋_GB2312"/>
          <w:sz w:val="32"/>
          <w:szCs w:val="32"/>
        </w:rPr>
        <w:t>积极发挥自律职能，建立行业联防联控机制，研究整治措施，反映行业诉求，</w:t>
      </w:r>
      <w:r>
        <w:rPr>
          <w:rFonts w:ascii="仿宋_GB2312" w:eastAsia="仿宋_GB2312" w:hAnsiTheme="minorHAnsi" w:cstheme="minorBidi"/>
          <w:sz w:val="32"/>
          <w:szCs w:val="32"/>
        </w:rPr>
        <w:t>制定《保险销售从业人员执业失信行为认定指引》，将参与</w:t>
      </w:r>
      <w:r>
        <w:rPr>
          <w:rFonts w:hint="eastAsia" w:ascii="仿宋_GB2312" w:eastAsia="仿宋_GB2312" w:hAnsiTheme="minorHAnsi" w:cstheme="minorBidi"/>
          <w:sz w:val="32"/>
          <w:szCs w:val="32"/>
        </w:rPr>
        <w:t>黑产活动</w:t>
      </w:r>
      <w:r>
        <w:rPr>
          <w:rFonts w:ascii="仿宋_GB2312" w:eastAsia="仿宋_GB2312" w:hAnsiTheme="minorHAnsi" w:cstheme="minorBidi"/>
          <w:sz w:val="32"/>
          <w:szCs w:val="32"/>
        </w:rPr>
        <w:t>纳入失信行为</w:t>
      </w:r>
      <w:r>
        <w:rPr>
          <w:rFonts w:hint="eastAsia" w:ascii="仿宋_GB2312" w:eastAsia="仿宋_GB2312" w:hAnsiTheme="minorHAnsi" w:cstheme="minorBidi"/>
          <w:sz w:val="32"/>
          <w:szCs w:val="32"/>
        </w:rPr>
        <w:t>。</w:t>
      </w:r>
      <w:r>
        <w:rPr>
          <w:rFonts w:hint="eastAsia" w:ascii="仿宋_GB2312" w:eastAsia="仿宋_GB2312"/>
          <w:sz w:val="32"/>
          <w:szCs w:val="32"/>
        </w:rPr>
        <w:t>保险公司加强内控管理，</w:t>
      </w:r>
      <w:r>
        <w:rPr>
          <w:rFonts w:hint="eastAsia" w:ascii="仿宋_GB2312" w:hAnsi="Calibri" w:eastAsia="仿宋_GB2312"/>
          <w:sz w:val="32"/>
          <w:szCs w:val="32"/>
        </w:rPr>
        <w:t>加大销售合规和警示教育力度</w:t>
      </w:r>
      <w:r>
        <w:rPr>
          <w:rFonts w:hint="eastAsia" w:ascii="仿宋_GB2312" w:eastAsia="仿宋_GB2312"/>
          <w:sz w:val="32"/>
          <w:szCs w:val="32"/>
        </w:rPr>
        <w:t>，积极运用法律手段维护合法权益。</w:t>
      </w:r>
    </w:p>
    <w:p>
      <w:pPr>
        <w:keepNext w:val="0"/>
        <w:keepLines w:val="0"/>
        <w:pageBreakBefore w:val="0"/>
        <w:shd w:val="clear" w:color="auto" w:fill="FEFEFE"/>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宋体"/>
          <w:b/>
          <w:color w:val="000000"/>
          <w:kern w:val="0"/>
          <w:sz w:val="32"/>
          <w:szCs w:val="32"/>
          <w:highlight w:val="none"/>
          <w:lang w:val="en-US" w:eastAsia="zh-CN"/>
        </w:rPr>
      </w:pPr>
      <w:r>
        <w:rPr>
          <w:rFonts w:hint="eastAsia" w:ascii="仿宋" w:hAnsi="仿宋" w:eastAsia="仿宋"/>
          <w:sz w:val="32"/>
          <w:szCs w:val="32"/>
          <w:lang w:val="en-US" w:eastAsia="zh-CN"/>
        </w:rPr>
        <w:t>中国</w:t>
      </w:r>
      <w:r>
        <w:rPr>
          <w:rFonts w:hint="eastAsia" w:ascii="仿宋" w:hAnsi="仿宋" w:eastAsia="仿宋"/>
          <w:sz w:val="32"/>
          <w:szCs w:val="32"/>
        </w:rPr>
        <w:t>银保监会不断完善消费者权益保护制度机制，依法打击各类侵害消费者合法权益的行为，加强消费投诉处理监管工作，压紧压实银行保险机构主体责任，把矛盾纠纷处理在基层，化解在机构内部。</w:t>
      </w:r>
      <w:r>
        <w:rPr>
          <w:rFonts w:hint="eastAsia" w:ascii="仿宋" w:hAnsi="仿宋" w:eastAsia="仿宋"/>
          <w:sz w:val="32"/>
          <w:szCs w:val="32"/>
          <w:lang w:val="en-US" w:eastAsia="zh-CN"/>
        </w:rPr>
        <w:t>中国</w:t>
      </w:r>
      <w:r>
        <w:rPr>
          <w:rFonts w:hint="eastAsia" w:ascii="仿宋" w:hAnsi="仿宋" w:eastAsia="仿宋"/>
          <w:sz w:val="32"/>
          <w:szCs w:val="32"/>
        </w:rPr>
        <w:t>保险</w:t>
      </w:r>
      <w:r>
        <w:rPr>
          <w:rFonts w:hint="eastAsia" w:ascii="仿宋" w:hAnsi="仿宋" w:eastAsia="仿宋"/>
          <w:sz w:val="32"/>
          <w:szCs w:val="32"/>
          <w:lang w:val="en-US" w:eastAsia="zh-CN"/>
        </w:rPr>
        <w:t>行</w:t>
      </w:r>
      <w:r>
        <w:rPr>
          <w:rFonts w:hint="eastAsia" w:ascii="仿宋" w:hAnsi="仿宋" w:eastAsia="仿宋"/>
          <w:sz w:val="32"/>
          <w:szCs w:val="32"/>
        </w:rPr>
        <w:t>业协会消费者权益保护专委会充分发挥自律组织作用，启动《保险行业消费者权益保护自律公约》制定研究工作，组织行业编撰</w:t>
      </w:r>
      <w:r>
        <w:rPr>
          <w:rFonts w:ascii="仿宋" w:hAnsi="仿宋" w:eastAsia="仿宋"/>
          <w:sz w:val="32"/>
          <w:szCs w:val="32"/>
        </w:rPr>
        <w:t>《</w:t>
      </w:r>
      <w:r>
        <w:rPr>
          <w:rFonts w:hint="eastAsia" w:ascii="仿宋" w:hAnsi="仿宋" w:eastAsia="仿宋"/>
          <w:sz w:val="32"/>
          <w:szCs w:val="32"/>
        </w:rPr>
        <w:t>保险行业消费者权益保护典型案例》，建设行业多元化纠纷解决统计系统，利用“3.15消费者权益保护宣传周相关工作”“7</w:t>
      </w:r>
      <w:r>
        <w:rPr>
          <w:rFonts w:ascii="仿宋" w:hAnsi="仿宋" w:eastAsia="仿宋"/>
          <w:sz w:val="32"/>
          <w:szCs w:val="32"/>
        </w:rPr>
        <w:t>.8</w:t>
      </w:r>
      <w:r>
        <w:rPr>
          <w:rFonts w:hint="eastAsia" w:ascii="仿宋" w:hAnsi="仿宋" w:eastAsia="仿宋"/>
          <w:sz w:val="32"/>
          <w:szCs w:val="32"/>
        </w:rPr>
        <w:t>全国保险宣传日”开展消费者教育</w:t>
      </w:r>
      <w:r>
        <w:rPr>
          <w:rFonts w:hint="eastAsia" w:ascii="仿宋" w:hAnsi="仿宋" w:eastAsia="仿宋"/>
          <w:sz w:val="32"/>
          <w:szCs w:val="32"/>
          <w:lang w:eastAsia="zh-CN"/>
        </w:rPr>
        <w:t>，</w:t>
      </w:r>
      <w:r>
        <w:rPr>
          <w:rFonts w:hint="eastAsia" w:ascii="仿宋" w:hAnsi="仿宋" w:eastAsia="仿宋"/>
          <w:sz w:val="32"/>
          <w:szCs w:val="32"/>
          <w:lang w:val="en-US" w:eastAsia="zh-CN"/>
        </w:rPr>
        <w:t>积极</w:t>
      </w:r>
      <w:r>
        <w:rPr>
          <w:rFonts w:hint="eastAsia" w:ascii="仿宋" w:hAnsi="仿宋" w:eastAsia="仿宋"/>
          <w:sz w:val="32"/>
          <w:szCs w:val="32"/>
        </w:rPr>
        <w:t>构建行业消保工作一盘棋的新格局。通过监管部门综合施策及全行业的共同努力，</w:t>
      </w:r>
      <w:r>
        <w:rPr>
          <w:rFonts w:hint="eastAsia" w:ascii="仿宋" w:hAnsi="仿宋" w:eastAsia="仿宋"/>
          <w:sz w:val="32"/>
          <w:szCs w:val="32"/>
          <w:lang w:val="en-US" w:eastAsia="zh-CN"/>
        </w:rPr>
        <w:t>今</w:t>
      </w:r>
      <w:r>
        <w:rPr>
          <w:rFonts w:hint="eastAsia" w:ascii="仿宋" w:hAnsi="仿宋" w:eastAsia="仿宋"/>
          <w:sz w:val="32"/>
          <w:szCs w:val="32"/>
        </w:rPr>
        <w:t>年上半年，</w:t>
      </w:r>
      <w:r>
        <w:rPr>
          <w:rFonts w:hint="eastAsia" w:ascii="仿宋" w:hAnsi="仿宋" w:eastAsia="仿宋"/>
          <w:sz w:val="32"/>
          <w:szCs w:val="32"/>
          <w:lang w:val="en-US" w:eastAsia="zh-CN"/>
        </w:rPr>
        <w:t>中国</w:t>
      </w:r>
      <w:r>
        <w:rPr>
          <w:rFonts w:hint="eastAsia" w:ascii="仿宋" w:hAnsi="仿宋" w:eastAsia="仿宋"/>
          <w:sz w:val="32"/>
          <w:szCs w:val="32"/>
        </w:rPr>
        <w:t>银保监会系统接收并转送的保险消费投诉情况总体改善，保险理赔投诉及财产险公司投诉同比下降，人身险公司投诉增速明显放缓。</w:t>
      </w:r>
    </w:p>
    <w:p>
      <w:pPr>
        <w:shd w:val="clear" w:color="auto" w:fill="FEFEFE"/>
        <w:spacing w:line="560" w:lineRule="exact"/>
        <w:ind w:firstLine="643" w:firstLineChars="200"/>
        <w:rPr>
          <w:rFonts w:hint="eastAsia" w:ascii="黑体" w:hAnsi="黑体" w:eastAsia="黑体" w:cs="宋体"/>
          <w:b/>
          <w:color w:val="000000"/>
          <w:kern w:val="0"/>
          <w:sz w:val="32"/>
          <w:szCs w:val="32"/>
          <w:highlight w:val="none"/>
          <w:lang w:val="en-US" w:eastAsia="zh-CN"/>
        </w:rPr>
      </w:pPr>
      <w:r>
        <w:rPr>
          <w:rFonts w:hint="eastAsia" w:ascii="黑体" w:hAnsi="黑体" w:eastAsia="黑体" w:cs="宋体"/>
          <w:b/>
          <w:color w:val="000000"/>
          <w:kern w:val="0"/>
          <w:sz w:val="32"/>
          <w:szCs w:val="32"/>
          <w:highlight w:val="none"/>
          <w:lang w:val="en-US" w:eastAsia="zh-CN"/>
        </w:rPr>
        <w:t>十、2022年，保险业坚持和加强党中央对金融工作的集中统一领导，加快完善保险机构公司治理，提升</w:t>
      </w:r>
      <w:r>
        <w:rPr>
          <w:rFonts w:hint="eastAsia" w:ascii="黑体" w:hAnsi="黑体" w:eastAsia="黑体" w:cs="宋体"/>
          <w:b/>
          <w:color w:val="auto"/>
          <w:kern w:val="0"/>
          <w:sz w:val="32"/>
          <w:szCs w:val="32"/>
          <w:highlight w:val="none"/>
          <w:lang w:val="en-US" w:eastAsia="zh-CN"/>
        </w:rPr>
        <w:t>偿付能力建设水平，</w:t>
      </w:r>
      <w:r>
        <w:rPr>
          <w:rFonts w:hint="eastAsia" w:ascii="黑体" w:hAnsi="黑体" w:eastAsia="黑体" w:cs="宋体"/>
          <w:b/>
          <w:color w:val="000000"/>
          <w:kern w:val="0"/>
          <w:sz w:val="32"/>
          <w:szCs w:val="32"/>
          <w:highlight w:val="none"/>
          <w:lang w:val="en-US" w:eastAsia="zh-CN"/>
        </w:rPr>
        <w:t>加强股东股权和关联交易管理，</w:t>
      </w:r>
      <w:r>
        <w:rPr>
          <w:rFonts w:hint="eastAsia" w:ascii="黑体" w:hAnsi="黑体" w:eastAsia="黑体" w:cs="宋体"/>
          <w:b/>
          <w:color w:val="auto"/>
          <w:kern w:val="0"/>
          <w:sz w:val="32"/>
          <w:szCs w:val="32"/>
          <w:highlight w:val="none"/>
          <w:lang w:val="en-US" w:eastAsia="zh-CN"/>
        </w:rPr>
        <w:t>强化反保险欺诈,</w:t>
      </w:r>
      <w:r>
        <w:rPr>
          <w:rFonts w:hint="eastAsia" w:ascii="黑体" w:hAnsi="黑体" w:eastAsia="黑体" w:cs="宋体"/>
          <w:b/>
          <w:color w:val="000000"/>
          <w:kern w:val="0"/>
          <w:sz w:val="32"/>
          <w:szCs w:val="32"/>
          <w:highlight w:val="none"/>
          <w:lang w:val="en-US" w:eastAsia="zh-CN"/>
        </w:rPr>
        <w:t>深化营销体制改革,持之以恒防范化解重大金融风险。</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概述：</w:t>
      </w:r>
      <w:r>
        <w:rPr>
          <w:rFonts w:hint="eastAsia" w:ascii="仿宋" w:hAnsi="仿宋" w:eastAsia="仿宋"/>
          <w:sz w:val="32"/>
          <w:szCs w:val="32"/>
          <w:highlight w:val="none"/>
        </w:rPr>
        <w:t>2022年，</w:t>
      </w:r>
      <w:r>
        <w:rPr>
          <w:rFonts w:hint="eastAsia" w:ascii="仿宋" w:hAnsi="仿宋" w:eastAsia="仿宋"/>
          <w:sz w:val="32"/>
          <w:szCs w:val="32"/>
          <w:highlight w:val="none"/>
          <w:lang w:eastAsia="zh-CN"/>
        </w:rPr>
        <w:t>中国银保监会</w:t>
      </w:r>
      <w:r>
        <w:rPr>
          <w:rFonts w:hint="eastAsia" w:ascii="仿宋" w:hAnsi="仿宋" w:eastAsia="仿宋"/>
          <w:sz w:val="32"/>
          <w:szCs w:val="32"/>
          <w:highlight w:val="none"/>
        </w:rPr>
        <w:t>推动保险机构持续加强党的建设，促进党的领导与公司治理有机融合，充分发挥金融机构党组织把方向、管大局、促落实的领导作用</w:t>
      </w:r>
      <w:r>
        <w:rPr>
          <w:rFonts w:hint="eastAsia" w:ascii="仿宋" w:hAnsi="仿宋" w:eastAsia="仿宋"/>
          <w:sz w:val="32"/>
          <w:szCs w:val="32"/>
          <w:highlight w:val="none"/>
          <w:lang w:eastAsia="zh-CN"/>
        </w:rPr>
        <w:t>，</w:t>
      </w:r>
      <w:r>
        <w:rPr>
          <w:rFonts w:hint="eastAsia" w:ascii="仿宋" w:hAnsi="仿宋" w:eastAsia="仿宋"/>
          <w:sz w:val="32"/>
          <w:szCs w:val="32"/>
          <w:highlight w:val="none"/>
        </w:rPr>
        <w:t>将加强党的领导贯穿于金融工作的全过程、各方面。</w:t>
      </w:r>
      <w:r>
        <w:rPr>
          <w:rFonts w:hint="eastAsia" w:ascii="仿宋" w:hAnsi="仿宋" w:eastAsia="仿宋"/>
          <w:sz w:val="32"/>
          <w:szCs w:val="32"/>
          <w:highlight w:val="none"/>
          <w:lang w:val="en-US" w:eastAsia="zh-CN"/>
        </w:rPr>
        <w:t>中国银保监会</w:t>
      </w:r>
      <w:r>
        <w:rPr>
          <w:rFonts w:hint="eastAsia" w:ascii="仿宋" w:hAnsi="仿宋" w:eastAsia="仿宋"/>
          <w:sz w:val="32"/>
          <w:szCs w:val="32"/>
          <w:highlight w:val="none"/>
        </w:rPr>
        <w:t>持续加强股东股权和关联交易的管理</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开展</w:t>
      </w:r>
      <w:r>
        <w:rPr>
          <w:rFonts w:hint="eastAsia" w:ascii="仿宋" w:hAnsi="仿宋" w:eastAsia="仿宋"/>
          <w:sz w:val="32"/>
          <w:szCs w:val="32"/>
          <w:highlight w:val="none"/>
        </w:rPr>
        <w:t>专项整治工作</w:t>
      </w:r>
      <w:r>
        <w:rPr>
          <w:rFonts w:hint="eastAsia" w:ascii="仿宋" w:hAnsi="仿宋" w:eastAsia="仿宋"/>
          <w:sz w:val="32"/>
          <w:szCs w:val="32"/>
          <w:highlight w:val="none"/>
          <w:lang w:eastAsia="zh-CN"/>
        </w:rPr>
        <w:t>。</w:t>
      </w:r>
      <w:r>
        <w:rPr>
          <w:rFonts w:hint="eastAsia" w:ascii="仿宋" w:hAnsi="仿宋" w:eastAsia="仿宋"/>
          <w:sz w:val="32"/>
          <w:szCs w:val="32"/>
          <w:highlight w:val="none"/>
        </w:rPr>
        <w:t>1月</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印发</w:t>
      </w:r>
      <w:r>
        <w:rPr>
          <w:rFonts w:hint="eastAsia" w:ascii="仿宋" w:hAnsi="仿宋" w:eastAsia="仿宋"/>
          <w:sz w:val="32"/>
          <w:szCs w:val="32"/>
          <w:highlight w:val="none"/>
        </w:rPr>
        <w:t>《银行保险机构关联交易管理办法》</w:t>
      </w:r>
      <w:r>
        <w:rPr>
          <w:rFonts w:hint="eastAsia" w:ascii="仿宋" w:hAnsi="仿宋" w:eastAsia="仿宋"/>
          <w:sz w:val="32"/>
          <w:szCs w:val="32"/>
          <w:highlight w:val="none"/>
          <w:lang w:eastAsia="zh-CN"/>
        </w:rPr>
        <w:t>。</w:t>
      </w:r>
      <w:r>
        <w:rPr>
          <w:rFonts w:hint="eastAsia" w:ascii="仿宋" w:hAnsi="仿宋" w:eastAsia="仿宋"/>
          <w:sz w:val="32"/>
          <w:szCs w:val="32"/>
          <w:highlight w:val="none"/>
        </w:rPr>
        <w:t>5月</w:t>
      </w:r>
      <w:r>
        <w:rPr>
          <w:rFonts w:hint="eastAsia" w:ascii="仿宋" w:hAnsi="仿宋" w:eastAsia="仿宋"/>
          <w:sz w:val="32"/>
          <w:szCs w:val="32"/>
          <w:highlight w:val="none"/>
          <w:lang w:eastAsia="zh-CN"/>
        </w:rPr>
        <w:t>，</w:t>
      </w:r>
      <w:r>
        <w:rPr>
          <w:rFonts w:hint="eastAsia" w:ascii="仿宋" w:hAnsi="仿宋" w:eastAsia="仿宋"/>
          <w:sz w:val="32"/>
          <w:szCs w:val="32"/>
          <w:highlight w:val="none"/>
        </w:rPr>
        <w:t>向社会公开第五批共43名重大违法违规股东</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全年</w:t>
      </w:r>
      <w:r>
        <w:rPr>
          <w:rFonts w:hint="eastAsia" w:ascii="仿宋" w:hAnsi="仿宋" w:eastAsia="仿宋"/>
          <w:sz w:val="32"/>
          <w:szCs w:val="32"/>
          <w:highlight w:val="none"/>
        </w:rPr>
        <w:t>累计分五次向社会公开124个违法违规股东。</w:t>
      </w:r>
      <w:r>
        <w:rPr>
          <w:rFonts w:hint="eastAsia" w:ascii="仿宋" w:hAnsi="仿宋" w:eastAsia="仿宋"/>
          <w:sz w:val="32"/>
          <w:szCs w:val="32"/>
          <w:highlight w:val="none"/>
          <w:lang w:val="en-US" w:eastAsia="zh-CN"/>
        </w:rPr>
        <w:t>中国保险行业协会</w:t>
      </w:r>
      <w:r>
        <w:rPr>
          <w:rFonts w:hint="eastAsia" w:ascii="仿宋" w:hAnsi="仿宋" w:eastAsia="仿宋"/>
          <w:sz w:val="32"/>
          <w:szCs w:val="32"/>
          <w:highlight w:val="none"/>
        </w:rPr>
        <w:t>根据</w:t>
      </w:r>
      <w:r>
        <w:rPr>
          <w:rFonts w:hint="eastAsia" w:ascii="仿宋" w:hAnsi="仿宋" w:eastAsia="仿宋"/>
          <w:sz w:val="32"/>
          <w:szCs w:val="32"/>
          <w:highlight w:val="none"/>
          <w:lang w:eastAsia="zh-CN"/>
        </w:rPr>
        <w:t>中国银保监会</w:t>
      </w:r>
      <w:r>
        <w:rPr>
          <w:rFonts w:hint="eastAsia" w:ascii="仿宋" w:hAnsi="仿宋" w:eastAsia="仿宋"/>
          <w:sz w:val="32"/>
          <w:szCs w:val="32"/>
          <w:highlight w:val="none"/>
        </w:rPr>
        <w:t>的决策部署，加快推进保险业管理人才库建设，着力解决中小保险机构公司治理薄弱、专业人才缺少的问题，促进建立健全职业经理人市场机制</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制定</w:t>
      </w:r>
      <w:r>
        <w:rPr>
          <w:rFonts w:hint="eastAsia" w:ascii="仿宋" w:hAnsi="仿宋" w:eastAsia="仿宋"/>
          <w:sz w:val="32"/>
          <w:szCs w:val="32"/>
          <w:highlight w:val="none"/>
        </w:rPr>
        <w:t>印发《保险公司股东权利义务手册》，开展股东管理优秀实践宣传交流活动，规范股东股权行为</w:t>
      </w:r>
      <w:r>
        <w:rPr>
          <w:rFonts w:hint="eastAsia" w:ascii="仿宋" w:hAnsi="仿宋" w:eastAsia="仿宋"/>
          <w:sz w:val="32"/>
          <w:szCs w:val="32"/>
          <w:highlight w:val="none"/>
          <w:lang w:eastAsia="zh-CN"/>
        </w:rPr>
        <w:t>。</w:t>
      </w:r>
      <w:r>
        <w:rPr>
          <w:rFonts w:hint="eastAsia" w:ascii="仿宋" w:hAnsi="仿宋" w:eastAsia="仿宋"/>
          <w:sz w:val="32"/>
          <w:szCs w:val="32"/>
          <w:highlight w:val="none"/>
        </w:rPr>
        <w:t>研究制定《保险机构环境、社会和治理信息披露指南（征求意见稿）》，前瞻性引领行业提升环境、社会和治理表现，规范相关信息披露。</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2022年</w:t>
      </w:r>
      <w:r>
        <w:rPr>
          <w:rFonts w:hint="eastAsia" w:ascii="仿宋" w:hAnsi="仿宋" w:eastAsia="仿宋"/>
          <w:sz w:val="32"/>
          <w:szCs w:val="32"/>
          <w:highlight w:val="none"/>
        </w:rPr>
        <w:t>1月，《保险公司偿付能力监管规则（Ⅱ）》正式实施</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12月，</w:t>
      </w:r>
      <w:r>
        <w:rPr>
          <w:rFonts w:hint="eastAsia" w:ascii="仿宋" w:hAnsi="仿宋" w:eastAsia="仿宋"/>
          <w:sz w:val="32"/>
          <w:szCs w:val="32"/>
          <w:highlight w:val="none"/>
        </w:rPr>
        <w:t>中国银保监会召开偿付能力监管委员会第十七次工作会议指出保险业偿付能力充足率指标保持在合理区间，行业风险总体可控。</w:t>
      </w:r>
      <w:r>
        <w:rPr>
          <w:rFonts w:hint="eastAsia" w:ascii="仿宋" w:hAnsi="仿宋" w:eastAsia="仿宋"/>
          <w:sz w:val="32"/>
          <w:szCs w:val="32"/>
          <w:highlight w:val="none"/>
          <w:lang w:eastAsia="zh-CN"/>
        </w:rPr>
        <w:t>偿二代二期</w:t>
      </w:r>
      <w:r>
        <w:rPr>
          <w:rFonts w:hint="eastAsia" w:ascii="仿宋" w:hAnsi="仿宋" w:eastAsia="仿宋"/>
          <w:sz w:val="32"/>
          <w:szCs w:val="32"/>
          <w:highlight w:val="none"/>
        </w:rPr>
        <w:t>是中国银保监会落实第五次全国金融工作会议精神和打好防范化解重大金融风险攻坚战决策部署的重要举措，是结合金融工作新要求和保险监管新形势对偿付能力监管制度科学性、有效性的全面提升。</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面对</w:t>
      </w:r>
      <w:r>
        <w:rPr>
          <w:rFonts w:hint="eastAsia" w:ascii="仿宋" w:hAnsi="仿宋" w:eastAsia="仿宋"/>
          <w:sz w:val="32"/>
          <w:szCs w:val="32"/>
          <w:highlight w:val="none"/>
        </w:rPr>
        <w:t>保险欺诈案件频发</w:t>
      </w:r>
      <w:r>
        <w:rPr>
          <w:rFonts w:hint="eastAsia" w:ascii="仿宋" w:hAnsi="仿宋" w:eastAsia="仿宋"/>
          <w:sz w:val="32"/>
          <w:szCs w:val="32"/>
          <w:highlight w:val="none"/>
          <w:lang w:val="en-US" w:eastAsia="zh-CN"/>
        </w:rPr>
        <w:t>的</w:t>
      </w:r>
      <w:r>
        <w:rPr>
          <w:rFonts w:hint="eastAsia" w:ascii="仿宋" w:hAnsi="仿宋" w:eastAsia="仿宋"/>
          <w:sz w:val="32"/>
          <w:szCs w:val="32"/>
          <w:highlight w:val="none"/>
        </w:rPr>
        <w:t>严峻</w:t>
      </w:r>
      <w:r>
        <w:rPr>
          <w:rFonts w:hint="eastAsia" w:ascii="仿宋" w:hAnsi="仿宋" w:eastAsia="仿宋"/>
          <w:sz w:val="32"/>
          <w:szCs w:val="32"/>
          <w:highlight w:val="none"/>
          <w:lang w:val="en-US" w:eastAsia="zh-CN"/>
        </w:rPr>
        <w:t>形势</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在中国银保监会的指导下，2022年7月，</w:t>
      </w:r>
      <w:r>
        <w:rPr>
          <w:rFonts w:hint="eastAsia" w:ascii="仿宋" w:hAnsi="仿宋" w:eastAsia="仿宋"/>
          <w:sz w:val="32"/>
          <w:szCs w:val="32"/>
          <w:highlight w:val="none"/>
          <w:lang w:eastAsia="zh-CN"/>
        </w:rPr>
        <w:t>中国保险行业协会制定</w:t>
      </w:r>
      <w:r>
        <w:rPr>
          <w:rFonts w:hint="eastAsia" w:ascii="仿宋" w:hAnsi="仿宋" w:eastAsia="仿宋"/>
          <w:sz w:val="32"/>
          <w:szCs w:val="32"/>
          <w:highlight w:val="none"/>
        </w:rPr>
        <w:t>《反保险欺诈行业交流平台联席会议制度》，</w:t>
      </w:r>
      <w:r>
        <w:rPr>
          <w:rFonts w:hint="eastAsia" w:ascii="仿宋" w:hAnsi="仿宋" w:eastAsia="仿宋"/>
          <w:sz w:val="32"/>
          <w:szCs w:val="32"/>
          <w:highlight w:val="none"/>
          <w:lang w:eastAsia="zh-CN"/>
        </w:rPr>
        <w:t>建立</w:t>
      </w:r>
      <w:r>
        <w:rPr>
          <w:rFonts w:hint="eastAsia" w:ascii="仿宋" w:hAnsi="仿宋" w:eastAsia="仿宋"/>
          <w:sz w:val="32"/>
          <w:szCs w:val="32"/>
          <w:highlight w:val="none"/>
        </w:rPr>
        <w:t>行业反保险欺诈交流平台</w:t>
      </w:r>
      <w:r>
        <w:rPr>
          <w:rFonts w:hint="eastAsia" w:ascii="仿宋" w:hAnsi="仿宋" w:eastAsia="仿宋"/>
          <w:sz w:val="32"/>
          <w:szCs w:val="32"/>
          <w:highlight w:val="none"/>
          <w:lang w:eastAsia="zh-CN"/>
        </w:rPr>
        <w:t>，</w:t>
      </w:r>
      <w:r>
        <w:rPr>
          <w:rFonts w:hint="eastAsia" w:ascii="仿宋" w:hAnsi="仿宋" w:eastAsia="仿宋"/>
          <w:sz w:val="32"/>
          <w:szCs w:val="32"/>
          <w:lang w:val="en-US" w:eastAsia="zh-CN"/>
        </w:rPr>
        <w:t>通过</w:t>
      </w:r>
      <w:r>
        <w:rPr>
          <w:rFonts w:hint="eastAsia" w:ascii="仿宋" w:hAnsi="仿宋" w:eastAsia="仿宋"/>
          <w:sz w:val="32"/>
          <w:szCs w:val="32"/>
        </w:rPr>
        <w:t>各成员单位的协作机制，共同打击跨公司、跨区域欺诈案件，</w:t>
      </w:r>
      <w:r>
        <w:rPr>
          <w:rFonts w:hint="eastAsia" w:ascii="仿宋" w:hAnsi="仿宋" w:eastAsia="仿宋"/>
          <w:sz w:val="32"/>
          <w:szCs w:val="32"/>
          <w:highlight w:val="none"/>
        </w:rPr>
        <w:t>树立行业诚信经营良好形象</w:t>
      </w:r>
      <w:r>
        <w:rPr>
          <w:rFonts w:hint="eastAsia" w:ascii="仿宋" w:hAnsi="仿宋" w:eastAsia="仿宋"/>
          <w:sz w:val="32"/>
          <w:szCs w:val="32"/>
          <w:highlight w:val="none"/>
          <w:lang w:eastAsia="zh-CN"/>
        </w:rPr>
        <w:t>，</w:t>
      </w:r>
      <w:r>
        <w:rPr>
          <w:rFonts w:hint="eastAsia" w:ascii="仿宋" w:hAnsi="仿宋" w:eastAsia="仿宋"/>
          <w:sz w:val="32"/>
          <w:szCs w:val="32"/>
        </w:rPr>
        <w:t>维护保险行业和保险消费者的合法利益。</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2022年，</w:t>
      </w:r>
      <w:r>
        <w:rPr>
          <w:rFonts w:hint="eastAsia" w:ascii="仿宋" w:hAnsi="仿宋" w:eastAsia="仿宋"/>
          <w:sz w:val="32"/>
          <w:szCs w:val="32"/>
          <w:highlight w:val="none"/>
          <w:lang w:eastAsia="zh-CN"/>
        </w:rPr>
        <w:t>中国</w:t>
      </w:r>
      <w:r>
        <w:rPr>
          <w:rFonts w:hint="eastAsia" w:ascii="仿宋" w:hAnsi="仿宋" w:eastAsia="仿宋"/>
          <w:sz w:val="32"/>
          <w:szCs w:val="32"/>
          <w:highlight w:val="none"/>
        </w:rPr>
        <w:t>银保监会</w:t>
      </w:r>
      <w:r>
        <w:rPr>
          <w:rFonts w:hint="eastAsia" w:ascii="仿宋" w:hAnsi="仿宋" w:eastAsia="仿宋"/>
          <w:sz w:val="32"/>
          <w:szCs w:val="32"/>
          <w:highlight w:val="none"/>
          <w:lang w:eastAsia="zh-CN"/>
        </w:rPr>
        <w:t>先后发布</w:t>
      </w:r>
      <w:r>
        <w:rPr>
          <w:rFonts w:hint="eastAsia" w:ascii="仿宋" w:hAnsi="仿宋" w:eastAsia="仿宋"/>
          <w:sz w:val="32"/>
          <w:szCs w:val="32"/>
          <w:highlight w:val="none"/>
        </w:rPr>
        <w:t>《人身保险销售行为管理办法（征求意见稿）》《保险销售行为管理办法（征求意见稿）》《关于进一步推动完善人身保险行业个人营销体制的</w:t>
      </w:r>
      <w:r>
        <w:rPr>
          <w:rFonts w:hint="eastAsia" w:ascii="仿宋" w:hAnsi="仿宋" w:eastAsia="仿宋"/>
          <w:sz w:val="32"/>
          <w:szCs w:val="32"/>
          <w:highlight w:val="none"/>
          <w:lang w:val="en-US" w:eastAsia="zh-CN"/>
        </w:rPr>
        <w:t>意见（征求意见稿）》等文件，</w:t>
      </w:r>
      <w:r>
        <w:rPr>
          <w:rFonts w:hint="eastAsia" w:ascii="仿宋" w:hAnsi="仿宋" w:eastAsia="仿宋"/>
          <w:sz w:val="32"/>
          <w:szCs w:val="32"/>
          <w:highlight w:val="none"/>
        </w:rPr>
        <w:t>聚焦佣金费用及激励分配机制变革，建立健全销售资质分级和从业诚信管理体制机制</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中国保险行业协会充分发挥自律组织作用，认真</w:t>
      </w:r>
      <w:r>
        <w:rPr>
          <w:rFonts w:hint="default" w:ascii="仿宋_GB2312" w:hAnsi="仿宋" w:eastAsia="仿宋_GB2312" w:cs="Times New Roman"/>
          <w:color w:val="000000"/>
          <w:kern w:val="0"/>
          <w:sz w:val="32"/>
          <w:szCs w:val="32"/>
          <w:lang w:val="en-US" w:eastAsia="zh-CN" w:bidi="ar-SA"/>
        </w:rPr>
        <w:t>调研行业销售人员业务状况和制度环境，</w:t>
      </w:r>
      <w:r>
        <w:rPr>
          <w:rFonts w:hint="eastAsia" w:ascii="仿宋" w:hAnsi="仿宋" w:eastAsia="仿宋"/>
          <w:sz w:val="32"/>
          <w:szCs w:val="32"/>
          <w:highlight w:val="none"/>
        </w:rPr>
        <w:t>牵头推进保险销售能力资质分级体系建设工作，</w:t>
      </w:r>
      <w:r>
        <w:rPr>
          <w:rFonts w:hint="eastAsia" w:ascii="仿宋" w:hAnsi="仿宋" w:eastAsia="仿宋"/>
          <w:sz w:val="32"/>
          <w:szCs w:val="32"/>
          <w:highlight w:val="none"/>
          <w:lang w:eastAsia="zh-CN"/>
        </w:rPr>
        <w:t>研究起草</w:t>
      </w:r>
      <w:r>
        <w:rPr>
          <w:rFonts w:hint="eastAsia" w:ascii="仿宋" w:hAnsi="仿宋" w:eastAsia="仿宋"/>
          <w:sz w:val="32"/>
          <w:szCs w:val="32"/>
          <w:highlight w:val="none"/>
          <w:lang w:val="en-US" w:eastAsia="zh-CN"/>
        </w:rPr>
        <w:t>《保险销售从业人员销售能力资质分级体系建设规划》，</w:t>
      </w:r>
      <w:r>
        <w:rPr>
          <w:rFonts w:hint="eastAsia" w:ascii="仿宋" w:hAnsi="仿宋" w:eastAsia="仿宋"/>
          <w:sz w:val="32"/>
          <w:szCs w:val="32"/>
          <w:highlight w:val="none"/>
        </w:rPr>
        <w:t>促进保险销售从业人员专业化、职业化、规范化发展，服务保险消费者多元化、复杂化、个性化的综合金融服务需求。</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_GB2312" w:eastAsia="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006233D0"/>
    <w:rsid w:val="0048428A"/>
    <w:rsid w:val="00537C28"/>
    <w:rsid w:val="00577718"/>
    <w:rsid w:val="005A7208"/>
    <w:rsid w:val="006233D0"/>
    <w:rsid w:val="006C311B"/>
    <w:rsid w:val="008B625C"/>
    <w:rsid w:val="008D1695"/>
    <w:rsid w:val="00AB7A64"/>
    <w:rsid w:val="00AF1302"/>
    <w:rsid w:val="00C528D4"/>
    <w:rsid w:val="00C621A8"/>
    <w:rsid w:val="00E54D24"/>
    <w:rsid w:val="00EF46EC"/>
    <w:rsid w:val="00F1191B"/>
    <w:rsid w:val="00F66F31"/>
    <w:rsid w:val="01192C1F"/>
    <w:rsid w:val="014A31E7"/>
    <w:rsid w:val="014C4DA3"/>
    <w:rsid w:val="01830099"/>
    <w:rsid w:val="019404F8"/>
    <w:rsid w:val="01B777F8"/>
    <w:rsid w:val="01CA5CC8"/>
    <w:rsid w:val="01DF4402"/>
    <w:rsid w:val="02555ED9"/>
    <w:rsid w:val="02935B68"/>
    <w:rsid w:val="029A7D90"/>
    <w:rsid w:val="02E1151B"/>
    <w:rsid w:val="02F474A0"/>
    <w:rsid w:val="03011BBD"/>
    <w:rsid w:val="030A7EBB"/>
    <w:rsid w:val="035E2B6B"/>
    <w:rsid w:val="03AF786B"/>
    <w:rsid w:val="03B73FCE"/>
    <w:rsid w:val="03D472D2"/>
    <w:rsid w:val="03F4527E"/>
    <w:rsid w:val="040A684F"/>
    <w:rsid w:val="04107282"/>
    <w:rsid w:val="04207E21"/>
    <w:rsid w:val="042C2C6A"/>
    <w:rsid w:val="0437278A"/>
    <w:rsid w:val="04E9527F"/>
    <w:rsid w:val="050140F6"/>
    <w:rsid w:val="055E50A5"/>
    <w:rsid w:val="056A57F8"/>
    <w:rsid w:val="05704DD8"/>
    <w:rsid w:val="05E0077E"/>
    <w:rsid w:val="06141C07"/>
    <w:rsid w:val="0624009C"/>
    <w:rsid w:val="06492001"/>
    <w:rsid w:val="068154EF"/>
    <w:rsid w:val="06A04B8B"/>
    <w:rsid w:val="06A05249"/>
    <w:rsid w:val="06DB44D3"/>
    <w:rsid w:val="071D4718"/>
    <w:rsid w:val="076B1CFB"/>
    <w:rsid w:val="076D6CFC"/>
    <w:rsid w:val="07862691"/>
    <w:rsid w:val="07A50D69"/>
    <w:rsid w:val="07BC0137"/>
    <w:rsid w:val="07CC279A"/>
    <w:rsid w:val="07D57174"/>
    <w:rsid w:val="08002443"/>
    <w:rsid w:val="081B727D"/>
    <w:rsid w:val="08522435"/>
    <w:rsid w:val="086B254D"/>
    <w:rsid w:val="08872B64"/>
    <w:rsid w:val="08A2174C"/>
    <w:rsid w:val="09023F99"/>
    <w:rsid w:val="090B72F2"/>
    <w:rsid w:val="09216580"/>
    <w:rsid w:val="092E2FE0"/>
    <w:rsid w:val="09376339"/>
    <w:rsid w:val="097C01EF"/>
    <w:rsid w:val="097C3D4B"/>
    <w:rsid w:val="09880942"/>
    <w:rsid w:val="09A82D92"/>
    <w:rsid w:val="0A195A3E"/>
    <w:rsid w:val="0A4707FD"/>
    <w:rsid w:val="0A546A76"/>
    <w:rsid w:val="0A586566"/>
    <w:rsid w:val="0A802CC4"/>
    <w:rsid w:val="0A943317"/>
    <w:rsid w:val="0AA95014"/>
    <w:rsid w:val="0AC57974"/>
    <w:rsid w:val="0AD876A7"/>
    <w:rsid w:val="0AF052C5"/>
    <w:rsid w:val="0AF3628F"/>
    <w:rsid w:val="0B226B74"/>
    <w:rsid w:val="0B277597"/>
    <w:rsid w:val="0B446AEB"/>
    <w:rsid w:val="0B884C29"/>
    <w:rsid w:val="0BA43DFB"/>
    <w:rsid w:val="0BE91440"/>
    <w:rsid w:val="0BF422BF"/>
    <w:rsid w:val="0C0369A6"/>
    <w:rsid w:val="0C061FF2"/>
    <w:rsid w:val="0C087B18"/>
    <w:rsid w:val="0C48085D"/>
    <w:rsid w:val="0C6A2581"/>
    <w:rsid w:val="0C833643"/>
    <w:rsid w:val="0C9D4705"/>
    <w:rsid w:val="0CEC11E8"/>
    <w:rsid w:val="0CFA3905"/>
    <w:rsid w:val="0D207894"/>
    <w:rsid w:val="0D364A36"/>
    <w:rsid w:val="0D6B65B1"/>
    <w:rsid w:val="0D755681"/>
    <w:rsid w:val="0D8873B5"/>
    <w:rsid w:val="0DD24882"/>
    <w:rsid w:val="0DF26CD2"/>
    <w:rsid w:val="0DF34779"/>
    <w:rsid w:val="0E2D0C69"/>
    <w:rsid w:val="0E3A41D5"/>
    <w:rsid w:val="0E3C1CFB"/>
    <w:rsid w:val="0E4A3C2F"/>
    <w:rsid w:val="0E4A4418"/>
    <w:rsid w:val="0E527165"/>
    <w:rsid w:val="0E70792C"/>
    <w:rsid w:val="0E792F4F"/>
    <w:rsid w:val="0E820056"/>
    <w:rsid w:val="0E9658AF"/>
    <w:rsid w:val="0EDE2DB2"/>
    <w:rsid w:val="0F0F11BE"/>
    <w:rsid w:val="0F1B5DB5"/>
    <w:rsid w:val="0F3074F6"/>
    <w:rsid w:val="0F672DA8"/>
    <w:rsid w:val="0F6E4136"/>
    <w:rsid w:val="0F81030D"/>
    <w:rsid w:val="0FB73D2F"/>
    <w:rsid w:val="0FED7751"/>
    <w:rsid w:val="1001144E"/>
    <w:rsid w:val="10081CCE"/>
    <w:rsid w:val="1010343F"/>
    <w:rsid w:val="101C3B92"/>
    <w:rsid w:val="105414A1"/>
    <w:rsid w:val="10547422"/>
    <w:rsid w:val="105A290D"/>
    <w:rsid w:val="10603DC6"/>
    <w:rsid w:val="1077526D"/>
    <w:rsid w:val="10817E99"/>
    <w:rsid w:val="109A0F5B"/>
    <w:rsid w:val="109D1177"/>
    <w:rsid w:val="10BF10E1"/>
    <w:rsid w:val="10CA0685"/>
    <w:rsid w:val="10EB70CA"/>
    <w:rsid w:val="10EE3EBA"/>
    <w:rsid w:val="10F45327"/>
    <w:rsid w:val="11175C83"/>
    <w:rsid w:val="111D4066"/>
    <w:rsid w:val="114C66F9"/>
    <w:rsid w:val="11712AEB"/>
    <w:rsid w:val="1182211B"/>
    <w:rsid w:val="118B1656"/>
    <w:rsid w:val="119B31DD"/>
    <w:rsid w:val="11BF6AA0"/>
    <w:rsid w:val="11DC6414"/>
    <w:rsid w:val="12372F05"/>
    <w:rsid w:val="12993BC0"/>
    <w:rsid w:val="12D30BEF"/>
    <w:rsid w:val="13507743"/>
    <w:rsid w:val="136B0978"/>
    <w:rsid w:val="13765CAF"/>
    <w:rsid w:val="138A6A52"/>
    <w:rsid w:val="13C22CA3"/>
    <w:rsid w:val="13C54541"/>
    <w:rsid w:val="13DF1AA7"/>
    <w:rsid w:val="13E20007"/>
    <w:rsid w:val="13FA41EA"/>
    <w:rsid w:val="1414458E"/>
    <w:rsid w:val="14263231"/>
    <w:rsid w:val="142D2812"/>
    <w:rsid w:val="14587163"/>
    <w:rsid w:val="147321EF"/>
    <w:rsid w:val="148E1CF8"/>
    <w:rsid w:val="149463AA"/>
    <w:rsid w:val="151F384F"/>
    <w:rsid w:val="15363948"/>
    <w:rsid w:val="153B0F5F"/>
    <w:rsid w:val="154020D1"/>
    <w:rsid w:val="154A11A2"/>
    <w:rsid w:val="15791A87"/>
    <w:rsid w:val="15966195"/>
    <w:rsid w:val="159B0228"/>
    <w:rsid w:val="15A46B04"/>
    <w:rsid w:val="15D05B4B"/>
    <w:rsid w:val="15DA2525"/>
    <w:rsid w:val="16465E0D"/>
    <w:rsid w:val="16B81E85"/>
    <w:rsid w:val="16ED66DF"/>
    <w:rsid w:val="16FA2753"/>
    <w:rsid w:val="170830C2"/>
    <w:rsid w:val="17103D25"/>
    <w:rsid w:val="1726179A"/>
    <w:rsid w:val="17342109"/>
    <w:rsid w:val="17475506"/>
    <w:rsid w:val="1750544B"/>
    <w:rsid w:val="17667DE9"/>
    <w:rsid w:val="17734523"/>
    <w:rsid w:val="181F6915"/>
    <w:rsid w:val="18291542"/>
    <w:rsid w:val="185C36C6"/>
    <w:rsid w:val="187D5E38"/>
    <w:rsid w:val="188B7B07"/>
    <w:rsid w:val="18DC65B5"/>
    <w:rsid w:val="18E26EB6"/>
    <w:rsid w:val="19151AC7"/>
    <w:rsid w:val="191E12C9"/>
    <w:rsid w:val="19533F2B"/>
    <w:rsid w:val="195645B9"/>
    <w:rsid w:val="19AC5F87"/>
    <w:rsid w:val="19D17A63"/>
    <w:rsid w:val="1A323848"/>
    <w:rsid w:val="1A927C95"/>
    <w:rsid w:val="1ABC1A23"/>
    <w:rsid w:val="1AE856E5"/>
    <w:rsid w:val="1AF0375E"/>
    <w:rsid w:val="1B244243"/>
    <w:rsid w:val="1B4A1EFB"/>
    <w:rsid w:val="1B4D72F6"/>
    <w:rsid w:val="1B851185"/>
    <w:rsid w:val="1B8D2D6A"/>
    <w:rsid w:val="1BC752FA"/>
    <w:rsid w:val="1BE55780"/>
    <w:rsid w:val="1C1E0C92"/>
    <w:rsid w:val="1C2269D4"/>
    <w:rsid w:val="1C295FB5"/>
    <w:rsid w:val="1C6513DE"/>
    <w:rsid w:val="1C6A3ED7"/>
    <w:rsid w:val="1C6F7740"/>
    <w:rsid w:val="1CAB473D"/>
    <w:rsid w:val="1CDA2E0B"/>
    <w:rsid w:val="1D0C42E1"/>
    <w:rsid w:val="1D0E6F59"/>
    <w:rsid w:val="1D774AFE"/>
    <w:rsid w:val="1D7E5E8C"/>
    <w:rsid w:val="1D8965DF"/>
    <w:rsid w:val="1D9F7267"/>
    <w:rsid w:val="1DC615E1"/>
    <w:rsid w:val="1E032CED"/>
    <w:rsid w:val="1E0839A8"/>
    <w:rsid w:val="1E0A7720"/>
    <w:rsid w:val="1E193E07"/>
    <w:rsid w:val="1E1C7453"/>
    <w:rsid w:val="1E2D340E"/>
    <w:rsid w:val="1E326C77"/>
    <w:rsid w:val="1E4A3FC0"/>
    <w:rsid w:val="1E5F6DFC"/>
    <w:rsid w:val="1E636E30"/>
    <w:rsid w:val="1E7B23CC"/>
    <w:rsid w:val="1EA00084"/>
    <w:rsid w:val="1EAB0F03"/>
    <w:rsid w:val="1EB06519"/>
    <w:rsid w:val="1EB678A8"/>
    <w:rsid w:val="1ECC0E79"/>
    <w:rsid w:val="1EFB350D"/>
    <w:rsid w:val="1F0829B6"/>
    <w:rsid w:val="1F397F27"/>
    <w:rsid w:val="1F6E1F30"/>
    <w:rsid w:val="1F7E6617"/>
    <w:rsid w:val="1F833C2E"/>
    <w:rsid w:val="1FA808F8"/>
    <w:rsid w:val="1FCE0886"/>
    <w:rsid w:val="1FD2426D"/>
    <w:rsid w:val="1FF22B62"/>
    <w:rsid w:val="20020FF7"/>
    <w:rsid w:val="20176124"/>
    <w:rsid w:val="202D1DEC"/>
    <w:rsid w:val="202D4A53"/>
    <w:rsid w:val="20315438"/>
    <w:rsid w:val="20712CE5"/>
    <w:rsid w:val="20871803"/>
    <w:rsid w:val="208732AA"/>
    <w:rsid w:val="20A0436C"/>
    <w:rsid w:val="20B93CDD"/>
    <w:rsid w:val="20C45223"/>
    <w:rsid w:val="20E702D4"/>
    <w:rsid w:val="20FA3A7C"/>
    <w:rsid w:val="211865F8"/>
    <w:rsid w:val="2125583C"/>
    <w:rsid w:val="21492926"/>
    <w:rsid w:val="21582E98"/>
    <w:rsid w:val="215A276C"/>
    <w:rsid w:val="21645399"/>
    <w:rsid w:val="216C52C4"/>
    <w:rsid w:val="21CB366A"/>
    <w:rsid w:val="221E3869"/>
    <w:rsid w:val="22364F87"/>
    <w:rsid w:val="22460F43"/>
    <w:rsid w:val="22716DFE"/>
    <w:rsid w:val="228A7081"/>
    <w:rsid w:val="22910410"/>
    <w:rsid w:val="22941CAE"/>
    <w:rsid w:val="22A00653"/>
    <w:rsid w:val="22AD060E"/>
    <w:rsid w:val="22DA1DB7"/>
    <w:rsid w:val="22DD342C"/>
    <w:rsid w:val="22E542B8"/>
    <w:rsid w:val="231529E2"/>
    <w:rsid w:val="23294AEC"/>
    <w:rsid w:val="23452FA8"/>
    <w:rsid w:val="23481728"/>
    <w:rsid w:val="2369313B"/>
    <w:rsid w:val="23977CA8"/>
    <w:rsid w:val="23B1063E"/>
    <w:rsid w:val="23DA2D13"/>
    <w:rsid w:val="23F60CA7"/>
    <w:rsid w:val="242D23BA"/>
    <w:rsid w:val="246F6101"/>
    <w:rsid w:val="24BB79C6"/>
    <w:rsid w:val="24C3687B"/>
    <w:rsid w:val="24E54A43"/>
    <w:rsid w:val="2503311B"/>
    <w:rsid w:val="250C63D7"/>
    <w:rsid w:val="251315B0"/>
    <w:rsid w:val="254E4396"/>
    <w:rsid w:val="25535460"/>
    <w:rsid w:val="257007B0"/>
    <w:rsid w:val="25757B75"/>
    <w:rsid w:val="257C301A"/>
    <w:rsid w:val="25A53848"/>
    <w:rsid w:val="25B14925"/>
    <w:rsid w:val="25BF34E6"/>
    <w:rsid w:val="26074E5C"/>
    <w:rsid w:val="260E7FC9"/>
    <w:rsid w:val="26412A35"/>
    <w:rsid w:val="26445799"/>
    <w:rsid w:val="264B2B25"/>
    <w:rsid w:val="2666570F"/>
    <w:rsid w:val="269229A8"/>
    <w:rsid w:val="26995AE5"/>
    <w:rsid w:val="26B800A4"/>
    <w:rsid w:val="26CD39E1"/>
    <w:rsid w:val="272555CB"/>
    <w:rsid w:val="27547C5E"/>
    <w:rsid w:val="277A3B68"/>
    <w:rsid w:val="278C389C"/>
    <w:rsid w:val="279A7D67"/>
    <w:rsid w:val="27C161D9"/>
    <w:rsid w:val="27E2170E"/>
    <w:rsid w:val="27F21951"/>
    <w:rsid w:val="281F201A"/>
    <w:rsid w:val="28261BFA"/>
    <w:rsid w:val="2838132E"/>
    <w:rsid w:val="285E6FE6"/>
    <w:rsid w:val="285F717F"/>
    <w:rsid w:val="28A569C3"/>
    <w:rsid w:val="28A71ED4"/>
    <w:rsid w:val="28B22E8E"/>
    <w:rsid w:val="28E05C4D"/>
    <w:rsid w:val="2927562A"/>
    <w:rsid w:val="2939535D"/>
    <w:rsid w:val="29453D02"/>
    <w:rsid w:val="29491A44"/>
    <w:rsid w:val="294C6E3F"/>
    <w:rsid w:val="295108F9"/>
    <w:rsid w:val="29691143"/>
    <w:rsid w:val="297445E7"/>
    <w:rsid w:val="298962E5"/>
    <w:rsid w:val="29A24CB1"/>
    <w:rsid w:val="2A007C29"/>
    <w:rsid w:val="2A27165A"/>
    <w:rsid w:val="2A7C6D90"/>
    <w:rsid w:val="2A8C304A"/>
    <w:rsid w:val="2A922F77"/>
    <w:rsid w:val="2AD74E2E"/>
    <w:rsid w:val="2B3E0FBB"/>
    <w:rsid w:val="2B886128"/>
    <w:rsid w:val="2B8F5708"/>
    <w:rsid w:val="2B9F4715"/>
    <w:rsid w:val="2BAD4F81"/>
    <w:rsid w:val="2BF11E3A"/>
    <w:rsid w:val="2C0B2FE1"/>
    <w:rsid w:val="2C4B162F"/>
    <w:rsid w:val="2CB27E5C"/>
    <w:rsid w:val="2CC94C4A"/>
    <w:rsid w:val="2CD31625"/>
    <w:rsid w:val="2CD755B9"/>
    <w:rsid w:val="2CE675AA"/>
    <w:rsid w:val="2D03015C"/>
    <w:rsid w:val="2D7626DC"/>
    <w:rsid w:val="2DC42F6C"/>
    <w:rsid w:val="2DDC1CCB"/>
    <w:rsid w:val="2E051CB2"/>
    <w:rsid w:val="2E057F04"/>
    <w:rsid w:val="2E383E35"/>
    <w:rsid w:val="2E3F0325"/>
    <w:rsid w:val="2E4427DA"/>
    <w:rsid w:val="2E935510"/>
    <w:rsid w:val="2E975000"/>
    <w:rsid w:val="2E9D013C"/>
    <w:rsid w:val="2EA63495"/>
    <w:rsid w:val="2EAD3329"/>
    <w:rsid w:val="2F1A353B"/>
    <w:rsid w:val="2F2148C9"/>
    <w:rsid w:val="2F4A02C4"/>
    <w:rsid w:val="2F754AC2"/>
    <w:rsid w:val="2FA379D4"/>
    <w:rsid w:val="2FB83480"/>
    <w:rsid w:val="30051E28"/>
    <w:rsid w:val="3005243D"/>
    <w:rsid w:val="30077F63"/>
    <w:rsid w:val="300C37CC"/>
    <w:rsid w:val="303F594F"/>
    <w:rsid w:val="306B6744"/>
    <w:rsid w:val="30A6777C"/>
    <w:rsid w:val="30E63E17"/>
    <w:rsid w:val="310F5713"/>
    <w:rsid w:val="311A0B04"/>
    <w:rsid w:val="311C7A3E"/>
    <w:rsid w:val="3175714F"/>
    <w:rsid w:val="31B859B9"/>
    <w:rsid w:val="31CC3212"/>
    <w:rsid w:val="31CD0D39"/>
    <w:rsid w:val="31DB3455"/>
    <w:rsid w:val="32382656"/>
    <w:rsid w:val="32566F80"/>
    <w:rsid w:val="325F5E35"/>
    <w:rsid w:val="328C29A2"/>
    <w:rsid w:val="32C263C3"/>
    <w:rsid w:val="32D67FF0"/>
    <w:rsid w:val="32DD204F"/>
    <w:rsid w:val="33242BDA"/>
    <w:rsid w:val="334B0167"/>
    <w:rsid w:val="33721B98"/>
    <w:rsid w:val="337551E4"/>
    <w:rsid w:val="33833DA5"/>
    <w:rsid w:val="33A37FA3"/>
    <w:rsid w:val="33DC34B5"/>
    <w:rsid w:val="33EA7980"/>
    <w:rsid w:val="33F16F60"/>
    <w:rsid w:val="33FC7E90"/>
    <w:rsid w:val="344277BC"/>
    <w:rsid w:val="344C23E9"/>
    <w:rsid w:val="347B2CCE"/>
    <w:rsid w:val="347B4A7C"/>
    <w:rsid w:val="348F6779"/>
    <w:rsid w:val="34C77B30"/>
    <w:rsid w:val="35020CF9"/>
    <w:rsid w:val="3502519D"/>
    <w:rsid w:val="35327830"/>
    <w:rsid w:val="355E120F"/>
    <w:rsid w:val="3560120F"/>
    <w:rsid w:val="35683252"/>
    <w:rsid w:val="3578720D"/>
    <w:rsid w:val="35944047"/>
    <w:rsid w:val="35A3072E"/>
    <w:rsid w:val="35DE52C2"/>
    <w:rsid w:val="35F03248"/>
    <w:rsid w:val="35FC0C31"/>
    <w:rsid w:val="35FE3BB6"/>
    <w:rsid w:val="36145188"/>
    <w:rsid w:val="365567D8"/>
    <w:rsid w:val="36631C6B"/>
    <w:rsid w:val="367479D5"/>
    <w:rsid w:val="36BD75CE"/>
    <w:rsid w:val="36C02399"/>
    <w:rsid w:val="36D44917"/>
    <w:rsid w:val="36D6243D"/>
    <w:rsid w:val="36E96615"/>
    <w:rsid w:val="36EA5EE9"/>
    <w:rsid w:val="36F1460D"/>
    <w:rsid w:val="37040D59"/>
    <w:rsid w:val="371116C7"/>
    <w:rsid w:val="37144D14"/>
    <w:rsid w:val="372B09DB"/>
    <w:rsid w:val="37D56B99"/>
    <w:rsid w:val="37E172EC"/>
    <w:rsid w:val="37FA03AE"/>
    <w:rsid w:val="380D00E1"/>
    <w:rsid w:val="38187545"/>
    <w:rsid w:val="382E4C1B"/>
    <w:rsid w:val="382F62A9"/>
    <w:rsid w:val="383E64EC"/>
    <w:rsid w:val="38404012"/>
    <w:rsid w:val="387719FE"/>
    <w:rsid w:val="387E4B3B"/>
    <w:rsid w:val="388A34DF"/>
    <w:rsid w:val="38A200F4"/>
    <w:rsid w:val="38A345A1"/>
    <w:rsid w:val="38B5526A"/>
    <w:rsid w:val="38D11C8C"/>
    <w:rsid w:val="38F8669B"/>
    <w:rsid w:val="39072D82"/>
    <w:rsid w:val="390908A8"/>
    <w:rsid w:val="3927473B"/>
    <w:rsid w:val="393A1311"/>
    <w:rsid w:val="399F120C"/>
    <w:rsid w:val="39DC7D6B"/>
    <w:rsid w:val="3A100743"/>
    <w:rsid w:val="3A176FF5"/>
    <w:rsid w:val="3A555D6F"/>
    <w:rsid w:val="3A640E02"/>
    <w:rsid w:val="3A744447"/>
    <w:rsid w:val="3AB02FA5"/>
    <w:rsid w:val="3AB900AC"/>
    <w:rsid w:val="3AD273C0"/>
    <w:rsid w:val="3AD46C94"/>
    <w:rsid w:val="3AE3337B"/>
    <w:rsid w:val="3AEF1B57"/>
    <w:rsid w:val="3B0A6B5A"/>
    <w:rsid w:val="3B1C1C05"/>
    <w:rsid w:val="3B251BE5"/>
    <w:rsid w:val="3B2C4D22"/>
    <w:rsid w:val="3B334F0C"/>
    <w:rsid w:val="3B3D6F2F"/>
    <w:rsid w:val="3B6A4FF9"/>
    <w:rsid w:val="3B702E61"/>
    <w:rsid w:val="3B834829"/>
    <w:rsid w:val="3B911029"/>
    <w:rsid w:val="3BA743A8"/>
    <w:rsid w:val="3BB93E14"/>
    <w:rsid w:val="3BF53366"/>
    <w:rsid w:val="3C101F4E"/>
    <w:rsid w:val="3C125CC6"/>
    <w:rsid w:val="3C146349"/>
    <w:rsid w:val="3C552056"/>
    <w:rsid w:val="3C7921E9"/>
    <w:rsid w:val="3C990195"/>
    <w:rsid w:val="3CC2593E"/>
    <w:rsid w:val="3CC72F54"/>
    <w:rsid w:val="3CD25455"/>
    <w:rsid w:val="3CE21E78"/>
    <w:rsid w:val="3D015D3A"/>
    <w:rsid w:val="3D2739F3"/>
    <w:rsid w:val="3D3B749E"/>
    <w:rsid w:val="3D580A48"/>
    <w:rsid w:val="3D5E4F3B"/>
    <w:rsid w:val="3D8A3F82"/>
    <w:rsid w:val="3E173A67"/>
    <w:rsid w:val="3E1D6235"/>
    <w:rsid w:val="3E611186"/>
    <w:rsid w:val="3EA66B99"/>
    <w:rsid w:val="3EDF3E59"/>
    <w:rsid w:val="3EFC4A0B"/>
    <w:rsid w:val="3F1E2BD3"/>
    <w:rsid w:val="3F4A7E6C"/>
    <w:rsid w:val="3F6116D8"/>
    <w:rsid w:val="3FCC6AD3"/>
    <w:rsid w:val="3FE23C01"/>
    <w:rsid w:val="400D3374"/>
    <w:rsid w:val="402048BF"/>
    <w:rsid w:val="405C1C05"/>
    <w:rsid w:val="405F046C"/>
    <w:rsid w:val="40736F4F"/>
    <w:rsid w:val="408354C8"/>
    <w:rsid w:val="409018AF"/>
    <w:rsid w:val="40905D53"/>
    <w:rsid w:val="40BD21BC"/>
    <w:rsid w:val="40E51BFB"/>
    <w:rsid w:val="40FE0F0E"/>
    <w:rsid w:val="4104731D"/>
    <w:rsid w:val="41161334"/>
    <w:rsid w:val="4121113B"/>
    <w:rsid w:val="41214BFD"/>
    <w:rsid w:val="416B16DE"/>
    <w:rsid w:val="417116E0"/>
    <w:rsid w:val="41742F7F"/>
    <w:rsid w:val="41792343"/>
    <w:rsid w:val="417E3DFD"/>
    <w:rsid w:val="417E5BAB"/>
    <w:rsid w:val="419649F6"/>
    <w:rsid w:val="41A5138A"/>
    <w:rsid w:val="41B4781F"/>
    <w:rsid w:val="41E53E7C"/>
    <w:rsid w:val="41F52311"/>
    <w:rsid w:val="41F8595E"/>
    <w:rsid w:val="420C2CFA"/>
    <w:rsid w:val="421107CE"/>
    <w:rsid w:val="421337CD"/>
    <w:rsid w:val="426C3C56"/>
    <w:rsid w:val="42FB0B19"/>
    <w:rsid w:val="4320516C"/>
    <w:rsid w:val="435117C9"/>
    <w:rsid w:val="43790D20"/>
    <w:rsid w:val="43A01E09"/>
    <w:rsid w:val="43EB2023"/>
    <w:rsid w:val="44366C11"/>
    <w:rsid w:val="446A2417"/>
    <w:rsid w:val="44BD04D5"/>
    <w:rsid w:val="44CE6E4A"/>
    <w:rsid w:val="44DE52DF"/>
    <w:rsid w:val="44F56185"/>
    <w:rsid w:val="44F81395"/>
    <w:rsid w:val="451102B2"/>
    <w:rsid w:val="45252F0E"/>
    <w:rsid w:val="45592BB7"/>
    <w:rsid w:val="45774DEB"/>
    <w:rsid w:val="45A2455E"/>
    <w:rsid w:val="45A33E32"/>
    <w:rsid w:val="45AD4CB1"/>
    <w:rsid w:val="45AF0A29"/>
    <w:rsid w:val="462211FB"/>
    <w:rsid w:val="462C207A"/>
    <w:rsid w:val="46386C71"/>
    <w:rsid w:val="463B5487"/>
    <w:rsid w:val="4654512D"/>
    <w:rsid w:val="46647A66"/>
    <w:rsid w:val="466C2476"/>
    <w:rsid w:val="46B1257F"/>
    <w:rsid w:val="46CA54D5"/>
    <w:rsid w:val="46FD57C4"/>
    <w:rsid w:val="4723347D"/>
    <w:rsid w:val="4755115C"/>
    <w:rsid w:val="47797541"/>
    <w:rsid w:val="47971775"/>
    <w:rsid w:val="47BC11DC"/>
    <w:rsid w:val="47CA1B4A"/>
    <w:rsid w:val="47CB141F"/>
    <w:rsid w:val="47CD33E9"/>
    <w:rsid w:val="47D84427"/>
    <w:rsid w:val="48086B26"/>
    <w:rsid w:val="481903DC"/>
    <w:rsid w:val="4828061F"/>
    <w:rsid w:val="484418FD"/>
    <w:rsid w:val="486755EB"/>
    <w:rsid w:val="48725000"/>
    <w:rsid w:val="487B4BF3"/>
    <w:rsid w:val="489F284C"/>
    <w:rsid w:val="48A57EC2"/>
    <w:rsid w:val="48B30830"/>
    <w:rsid w:val="48EE5528"/>
    <w:rsid w:val="48FA2152"/>
    <w:rsid w:val="490C1CEF"/>
    <w:rsid w:val="49284D7B"/>
    <w:rsid w:val="493556E9"/>
    <w:rsid w:val="49557B3A"/>
    <w:rsid w:val="49706721"/>
    <w:rsid w:val="49AE783B"/>
    <w:rsid w:val="49B05F92"/>
    <w:rsid w:val="49DF1A17"/>
    <w:rsid w:val="49FA5FEB"/>
    <w:rsid w:val="4A0A0924"/>
    <w:rsid w:val="4A113A61"/>
    <w:rsid w:val="4A2A4B22"/>
    <w:rsid w:val="4A62250E"/>
    <w:rsid w:val="4AE130AC"/>
    <w:rsid w:val="4AE20F59"/>
    <w:rsid w:val="4AFB4D8A"/>
    <w:rsid w:val="4B2477C4"/>
    <w:rsid w:val="4B616322"/>
    <w:rsid w:val="4B63653E"/>
    <w:rsid w:val="4B75001F"/>
    <w:rsid w:val="4BAD5A0B"/>
    <w:rsid w:val="4BDB2578"/>
    <w:rsid w:val="4C003D8D"/>
    <w:rsid w:val="4C150DF5"/>
    <w:rsid w:val="4C2E4820"/>
    <w:rsid w:val="4C3D394A"/>
    <w:rsid w:val="4C602A7D"/>
    <w:rsid w:val="4C715CA8"/>
    <w:rsid w:val="4C9B7ADC"/>
    <w:rsid w:val="4C9E5354"/>
    <w:rsid w:val="4CB35983"/>
    <w:rsid w:val="4CBD57DA"/>
    <w:rsid w:val="4CDF1BF4"/>
    <w:rsid w:val="4CEF5BAF"/>
    <w:rsid w:val="4CF51418"/>
    <w:rsid w:val="4D0C6761"/>
    <w:rsid w:val="4D6A4D12"/>
    <w:rsid w:val="4DA0761D"/>
    <w:rsid w:val="4DB03590"/>
    <w:rsid w:val="4DBD7A5B"/>
    <w:rsid w:val="4DC40DEA"/>
    <w:rsid w:val="4DD30A38"/>
    <w:rsid w:val="4DD3102D"/>
    <w:rsid w:val="4DDC25D7"/>
    <w:rsid w:val="4DF27705"/>
    <w:rsid w:val="4E276350"/>
    <w:rsid w:val="4E6F0D56"/>
    <w:rsid w:val="4EAC01FC"/>
    <w:rsid w:val="4EB3564C"/>
    <w:rsid w:val="4EBE3AC7"/>
    <w:rsid w:val="4EF27E0F"/>
    <w:rsid w:val="4EF31987"/>
    <w:rsid w:val="4EF37BD9"/>
    <w:rsid w:val="4F440434"/>
    <w:rsid w:val="4F537BA4"/>
    <w:rsid w:val="4F705E17"/>
    <w:rsid w:val="4F764366"/>
    <w:rsid w:val="4F98261E"/>
    <w:rsid w:val="4FB104D2"/>
    <w:rsid w:val="4FD957EE"/>
    <w:rsid w:val="4FF534DD"/>
    <w:rsid w:val="501A2F43"/>
    <w:rsid w:val="504C33D6"/>
    <w:rsid w:val="506A5C79"/>
    <w:rsid w:val="50964CC0"/>
    <w:rsid w:val="50A218B6"/>
    <w:rsid w:val="50A62A29"/>
    <w:rsid w:val="50E84DEF"/>
    <w:rsid w:val="51254295"/>
    <w:rsid w:val="51255F55"/>
    <w:rsid w:val="5146065D"/>
    <w:rsid w:val="514C1822"/>
    <w:rsid w:val="519D207E"/>
    <w:rsid w:val="51BD627C"/>
    <w:rsid w:val="51D33CF1"/>
    <w:rsid w:val="52262073"/>
    <w:rsid w:val="523B6EAF"/>
    <w:rsid w:val="5244074B"/>
    <w:rsid w:val="525A1D1D"/>
    <w:rsid w:val="528B0128"/>
    <w:rsid w:val="52B9474D"/>
    <w:rsid w:val="52CC2C1B"/>
    <w:rsid w:val="52D61B7B"/>
    <w:rsid w:val="52EA30A1"/>
    <w:rsid w:val="52EB0BC7"/>
    <w:rsid w:val="531A023F"/>
    <w:rsid w:val="539F20DD"/>
    <w:rsid w:val="53A2397B"/>
    <w:rsid w:val="53E86658"/>
    <w:rsid w:val="540E7263"/>
    <w:rsid w:val="547A66A6"/>
    <w:rsid w:val="54C618EB"/>
    <w:rsid w:val="5540344C"/>
    <w:rsid w:val="554967A4"/>
    <w:rsid w:val="55652EFE"/>
    <w:rsid w:val="556F5206"/>
    <w:rsid w:val="558477DD"/>
    <w:rsid w:val="558B7F10"/>
    <w:rsid w:val="55B15025"/>
    <w:rsid w:val="55C8387E"/>
    <w:rsid w:val="55D2713B"/>
    <w:rsid w:val="55E828D0"/>
    <w:rsid w:val="56073F6A"/>
    <w:rsid w:val="560E52F8"/>
    <w:rsid w:val="56222D48"/>
    <w:rsid w:val="564231F4"/>
    <w:rsid w:val="56462CE4"/>
    <w:rsid w:val="564E1B99"/>
    <w:rsid w:val="56D24578"/>
    <w:rsid w:val="56D77DE0"/>
    <w:rsid w:val="56F11C79"/>
    <w:rsid w:val="571C02C9"/>
    <w:rsid w:val="57727B09"/>
    <w:rsid w:val="57995095"/>
    <w:rsid w:val="579D6934"/>
    <w:rsid w:val="57FE314A"/>
    <w:rsid w:val="581035A9"/>
    <w:rsid w:val="58231DA1"/>
    <w:rsid w:val="58496ABB"/>
    <w:rsid w:val="584A6390"/>
    <w:rsid w:val="585D0AF4"/>
    <w:rsid w:val="58692CBA"/>
    <w:rsid w:val="587C29ED"/>
    <w:rsid w:val="58AB32D2"/>
    <w:rsid w:val="58B76156"/>
    <w:rsid w:val="58CA7BFC"/>
    <w:rsid w:val="58E10BD1"/>
    <w:rsid w:val="58EB36CF"/>
    <w:rsid w:val="590D7AE9"/>
    <w:rsid w:val="59376914"/>
    <w:rsid w:val="594F3C5E"/>
    <w:rsid w:val="597170E7"/>
    <w:rsid w:val="597C6A1D"/>
    <w:rsid w:val="59F36CDF"/>
    <w:rsid w:val="5A2C0443"/>
    <w:rsid w:val="5A563AFB"/>
    <w:rsid w:val="5A693D8E"/>
    <w:rsid w:val="5A6E0A5B"/>
    <w:rsid w:val="5A8E6A07"/>
    <w:rsid w:val="5AB04BD0"/>
    <w:rsid w:val="5AD1709B"/>
    <w:rsid w:val="5AEE56F8"/>
    <w:rsid w:val="5B1213E7"/>
    <w:rsid w:val="5B184523"/>
    <w:rsid w:val="5B21162A"/>
    <w:rsid w:val="5B555777"/>
    <w:rsid w:val="5BB95D06"/>
    <w:rsid w:val="5BF63181"/>
    <w:rsid w:val="5C1B076F"/>
    <w:rsid w:val="5C237623"/>
    <w:rsid w:val="5C657C3C"/>
    <w:rsid w:val="5C700ABB"/>
    <w:rsid w:val="5C727273"/>
    <w:rsid w:val="5CB96895"/>
    <w:rsid w:val="5CC2508E"/>
    <w:rsid w:val="5CD32DF8"/>
    <w:rsid w:val="5D172CE4"/>
    <w:rsid w:val="5D995DEF"/>
    <w:rsid w:val="5DA9695A"/>
    <w:rsid w:val="5DD76917"/>
    <w:rsid w:val="5DDB01B6"/>
    <w:rsid w:val="5DE51034"/>
    <w:rsid w:val="5E0A45F7"/>
    <w:rsid w:val="5E2815A9"/>
    <w:rsid w:val="5E473A9D"/>
    <w:rsid w:val="5E541D16"/>
    <w:rsid w:val="5E6F7B0D"/>
    <w:rsid w:val="5E785AF4"/>
    <w:rsid w:val="5E8048B9"/>
    <w:rsid w:val="5E886ACB"/>
    <w:rsid w:val="5E9071F2"/>
    <w:rsid w:val="5EB95382"/>
    <w:rsid w:val="5F013C4C"/>
    <w:rsid w:val="5F0E45BB"/>
    <w:rsid w:val="5F3538F6"/>
    <w:rsid w:val="5F357D99"/>
    <w:rsid w:val="5F6E5CED"/>
    <w:rsid w:val="5F70492E"/>
    <w:rsid w:val="5F7E34EF"/>
    <w:rsid w:val="5F9A0CFC"/>
    <w:rsid w:val="5FC03B07"/>
    <w:rsid w:val="5FC1162D"/>
    <w:rsid w:val="5FCF5AF8"/>
    <w:rsid w:val="601B0D3D"/>
    <w:rsid w:val="6028345A"/>
    <w:rsid w:val="6031230F"/>
    <w:rsid w:val="6051650D"/>
    <w:rsid w:val="60787F3E"/>
    <w:rsid w:val="607D5554"/>
    <w:rsid w:val="60831BF5"/>
    <w:rsid w:val="608A1A1F"/>
    <w:rsid w:val="60BD2F74"/>
    <w:rsid w:val="60D84E80"/>
    <w:rsid w:val="60E732E5"/>
    <w:rsid w:val="614E5143"/>
    <w:rsid w:val="616B1851"/>
    <w:rsid w:val="61932B55"/>
    <w:rsid w:val="619E1C26"/>
    <w:rsid w:val="61A30FEA"/>
    <w:rsid w:val="61E37639"/>
    <w:rsid w:val="61FE4473"/>
    <w:rsid w:val="62254DB7"/>
    <w:rsid w:val="624B3430"/>
    <w:rsid w:val="62562458"/>
    <w:rsid w:val="62791D4B"/>
    <w:rsid w:val="62864468"/>
    <w:rsid w:val="62A25746"/>
    <w:rsid w:val="62AC2121"/>
    <w:rsid w:val="62AC3ECF"/>
    <w:rsid w:val="630E2816"/>
    <w:rsid w:val="630F18F7"/>
    <w:rsid w:val="637320DB"/>
    <w:rsid w:val="63750765"/>
    <w:rsid w:val="637569B7"/>
    <w:rsid w:val="637A089E"/>
    <w:rsid w:val="63DC6A36"/>
    <w:rsid w:val="63DF2082"/>
    <w:rsid w:val="63EB2A2D"/>
    <w:rsid w:val="63F43D7F"/>
    <w:rsid w:val="64155AA4"/>
    <w:rsid w:val="64371EBE"/>
    <w:rsid w:val="6445054C"/>
    <w:rsid w:val="64475BCB"/>
    <w:rsid w:val="644B7717"/>
    <w:rsid w:val="648844C8"/>
    <w:rsid w:val="64C01EB3"/>
    <w:rsid w:val="64E34321"/>
    <w:rsid w:val="650F4BE9"/>
    <w:rsid w:val="652A1A23"/>
    <w:rsid w:val="655F7A2A"/>
    <w:rsid w:val="656942F9"/>
    <w:rsid w:val="658748E7"/>
    <w:rsid w:val="659E33BF"/>
    <w:rsid w:val="65F8567D"/>
    <w:rsid w:val="660961CF"/>
    <w:rsid w:val="661324B7"/>
    <w:rsid w:val="661A3845"/>
    <w:rsid w:val="662B5A52"/>
    <w:rsid w:val="666D7E19"/>
    <w:rsid w:val="667C4500"/>
    <w:rsid w:val="66807B4C"/>
    <w:rsid w:val="66A1570C"/>
    <w:rsid w:val="66A355E9"/>
    <w:rsid w:val="66AE4DA7"/>
    <w:rsid w:val="66B9305E"/>
    <w:rsid w:val="66BB5028"/>
    <w:rsid w:val="66CB3284"/>
    <w:rsid w:val="66DB4D83"/>
    <w:rsid w:val="6753700F"/>
    <w:rsid w:val="67627252"/>
    <w:rsid w:val="677156E7"/>
    <w:rsid w:val="67A755AC"/>
    <w:rsid w:val="67BA708E"/>
    <w:rsid w:val="67CC0B15"/>
    <w:rsid w:val="67F73E3E"/>
    <w:rsid w:val="680B57A7"/>
    <w:rsid w:val="6852251D"/>
    <w:rsid w:val="686A0AB4"/>
    <w:rsid w:val="68B910F3"/>
    <w:rsid w:val="68C33D20"/>
    <w:rsid w:val="68E5013A"/>
    <w:rsid w:val="690031C6"/>
    <w:rsid w:val="693B767D"/>
    <w:rsid w:val="698C477E"/>
    <w:rsid w:val="69BD2E65"/>
    <w:rsid w:val="69D1246D"/>
    <w:rsid w:val="69EA352F"/>
    <w:rsid w:val="6A1B7B8C"/>
    <w:rsid w:val="6A1E3C01"/>
    <w:rsid w:val="6A2353BE"/>
    <w:rsid w:val="6A435BC0"/>
    <w:rsid w:val="6A6C72A2"/>
    <w:rsid w:val="6A837C0B"/>
    <w:rsid w:val="6AD246EE"/>
    <w:rsid w:val="6AD40467"/>
    <w:rsid w:val="6AF6662F"/>
    <w:rsid w:val="6B364C7D"/>
    <w:rsid w:val="6B543355"/>
    <w:rsid w:val="6B58791B"/>
    <w:rsid w:val="6B8F074C"/>
    <w:rsid w:val="6B9D6AAA"/>
    <w:rsid w:val="6BBB1626"/>
    <w:rsid w:val="6BCE179B"/>
    <w:rsid w:val="6BE413C0"/>
    <w:rsid w:val="6BF8773A"/>
    <w:rsid w:val="6C007039"/>
    <w:rsid w:val="6C21592D"/>
    <w:rsid w:val="6C49284D"/>
    <w:rsid w:val="6C515AE7"/>
    <w:rsid w:val="6C9C3206"/>
    <w:rsid w:val="6CE233B9"/>
    <w:rsid w:val="6CE8644B"/>
    <w:rsid w:val="6D0D4104"/>
    <w:rsid w:val="6D1B05CF"/>
    <w:rsid w:val="6D280B90"/>
    <w:rsid w:val="6D8617C0"/>
    <w:rsid w:val="6DC347C2"/>
    <w:rsid w:val="6DE82235"/>
    <w:rsid w:val="6DEC3D19"/>
    <w:rsid w:val="6E26547D"/>
    <w:rsid w:val="6E6F1759"/>
    <w:rsid w:val="6E7F229E"/>
    <w:rsid w:val="6ED924EF"/>
    <w:rsid w:val="6EED2A6B"/>
    <w:rsid w:val="6F343BCA"/>
    <w:rsid w:val="6F5C238F"/>
    <w:rsid w:val="6FBE7937"/>
    <w:rsid w:val="702A0B29"/>
    <w:rsid w:val="703419A7"/>
    <w:rsid w:val="70B52AE8"/>
    <w:rsid w:val="70D6480D"/>
    <w:rsid w:val="70EB475C"/>
    <w:rsid w:val="71096B8F"/>
    <w:rsid w:val="71155335"/>
    <w:rsid w:val="711D0C34"/>
    <w:rsid w:val="71593931"/>
    <w:rsid w:val="717E112C"/>
    <w:rsid w:val="719E532A"/>
    <w:rsid w:val="71A861A9"/>
    <w:rsid w:val="71B42DA0"/>
    <w:rsid w:val="71C34D91"/>
    <w:rsid w:val="720309A0"/>
    <w:rsid w:val="720A6E64"/>
    <w:rsid w:val="720C2BDC"/>
    <w:rsid w:val="72294464"/>
    <w:rsid w:val="723B701D"/>
    <w:rsid w:val="725620A9"/>
    <w:rsid w:val="72773B49"/>
    <w:rsid w:val="72A2709C"/>
    <w:rsid w:val="72D134DE"/>
    <w:rsid w:val="72F5541E"/>
    <w:rsid w:val="730803AD"/>
    <w:rsid w:val="7352461E"/>
    <w:rsid w:val="735F067C"/>
    <w:rsid w:val="737278CE"/>
    <w:rsid w:val="737A1DC7"/>
    <w:rsid w:val="73A24513"/>
    <w:rsid w:val="73AC08B8"/>
    <w:rsid w:val="73B47087"/>
    <w:rsid w:val="73F854AB"/>
    <w:rsid w:val="74180545"/>
    <w:rsid w:val="741B0EB4"/>
    <w:rsid w:val="74273CFD"/>
    <w:rsid w:val="743E1047"/>
    <w:rsid w:val="744A272E"/>
    <w:rsid w:val="74784559"/>
    <w:rsid w:val="74794406"/>
    <w:rsid w:val="74923841"/>
    <w:rsid w:val="749D5763"/>
    <w:rsid w:val="74A23383"/>
    <w:rsid w:val="74BE7A92"/>
    <w:rsid w:val="74DB0643"/>
    <w:rsid w:val="74DF7F92"/>
    <w:rsid w:val="74F61ADC"/>
    <w:rsid w:val="74FF2584"/>
    <w:rsid w:val="750A3B33"/>
    <w:rsid w:val="755D2DD8"/>
    <w:rsid w:val="758B3ADB"/>
    <w:rsid w:val="75952C61"/>
    <w:rsid w:val="759F61FA"/>
    <w:rsid w:val="761E2EDE"/>
    <w:rsid w:val="76294A57"/>
    <w:rsid w:val="763B75EC"/>
    <w:rsid w:val="767E397C"/>
    <w:rsid w:val="7684708B"/>
    <w:rsid w:val="76946218"/>
    <w:rsid w:val="76957C55"/>
    <w:rsid w:val="76A07D97"/>
    <w:rsid w:val="76CA0970"/>
    <w:rsid w:val="76DE756D"/>
    <w:rsid w:val="7702635B"/>
    <w:rsid w:val="77077B18"/>
    <w:rsid w:val="771340C5"/>
    <w:rsid w:val="77416BDC"/>
    <w:rsid w:val="775841CD"/>
    <w:rsid w:val="77846D70"/>
    <w:rsid w:val="77C33D3D"/>
    <w:rsid w:val="77DA4BE2"/>
    <w:rsid w:val="77FA2B42"/>
    <w:rsid w:val="78000AED"/>
    <w:rsid w:val="78105060"/>
    <w:rsid w:val="785A1755"/>
    <w:rsid w:val="786C6182"/>
    <w:rsid w:val="786D1EFA"/>
    <w:rsid w:val="78947487"/>
    <w:rsid w:val="78995A69"/>
    <w:rsid w:val="78A5440D"/>
    <w:rsid w:val="78BE2756"/>
    <w:rsid w:val="78DA364B"/>
    <w:rsid w:val="78F739AF"/>
    <w:rsid w:val="79004C45"/>
    <w:rsid w:val="791660EE"/>
    <w:rsid w:val="793A1DDD"/>
    <w:rsid w:val="79646BA9"/>
    <w:rsid w:val="79A11E5C"/>
    <w:rsid w:val="79C96B82"/>
    <w:rsid w:val="79D264B9"/>
    <w:rsid w:val="79D815F5"/>
    <w:rsid w:val="79DF2984"/>
    <w:rsid w:val="79E63D12"/>
    <w:rsid w:val="79EA1A55"/>
    <w:rsid w:val="7A3031E0"/>
    <w:rsid w:val="7A37456E"/>
    <w:rsid w:val="7A4F7B0A"/>
    <w:rsid w:val="7A673265"/>
    <w:rsid w:val="7A8D0632"/>
    <w:rsid w:val="7AA25DE9"/>
    <w:rsid w:val="7AB636E5"/>
    <w:rsid w:val="7AB856F7"/>
    <w:rsid w:val="7ABD0F17"/>
    <w:rsid w:val="7AF4420D"/>
    <w:rsid w:val="7AF97A75"/>
    <w:rsid w:val="7B1D7C08"/>
    <w:rsid w:val="7B1E0CC3"/>
    <w:rsid w:val="7B25086A"/>
    <w:rsid w:val="7B346CFF"/>
    <w:rsid w:val="7B362A78"/>
    <w:rsid w:val="7B3A2568"/>
    <w:rsid w:val="7B720053"/>
    <w:rsid w:val="7B8B06BA"/>
    <w:rsid w:val="7BA7127F"/>
    <w:rsid w:val="7BEF7029"/>
    <w:rsid w:val="7BF344C5"/>
    <w:rsid w:val="7C016BE2"/>
    <w:rsid w:val="7C02545D"/>
    <w:rsid w:val="7C120DEF"/>
    <w:rsid w:val="7C3A20F4"/>
    <w:rsid w:val="7C417926"/>
    <w:rsid w:val="7C4B2553"/>
    <w:rsid w:val="7C6D24C9"/>
    <w:rsid w:val="7C725C6A"/>
    <w:rsid w:val="7C8F68E3"/>
    <w:rsid w:val="7CCD2F68"/>
    <w:rsid w:val="7D0B092E"/>
    <w:rsid w:val="7D11554A"/>
    <w:rsid w:val="7D2F59D0"/>
    <w:rsid w:val="7D676F18"/>
    <w:rsid w:val="7D796C4C"/>
    <w:rsid w:val="7D853842"/>
    <w:rsid w:val="7D8E6B9B"/>
    <w:rsid w:val="7DAC510A"/>
    <w:rsid w:val="7DB1166B"/>
    <w:rsid w:val="7E0724A9"/>
    <w:rsid w:val="7E0B1F99"/>
    <w:rsid w:val="7E1C3C9C"/>
    <w:rsid w:val="7E4454AB"/>
    <w:rsid w:val="7E6B3330"/>
    <w:rsid w:val="7E805187"/>
    <w:rsid w:val="7E885431"/>
    <w:rsid w:val="7EA91D32"/>
    <w:rsid w:val="7ECD5FD3"/>
    <w:rsid w:val="7EE8052D"/>
    <w:rsid w:val="7EFD0E67"/>
    <w:rsid w:val="7F1135E0"/>
    <w:rsid w:val="7F325668"/>
    <w:rsid w:val="7F34107C"/>
    <w:rsid w:val="7F3D43D5"/>
    <w:rsid w:val="7F565496"/>
    <w:rsid w:val="7F6C4CBA"/>
    <w:rsid w:val="7F6E5E6B"/>
    <w:rsid w:val="7F791185"/>
    <w:rsid w:val="7F7E49ED"/>
    <w:rsid w:val="7F857B2A"/>
    <w:rsid w:val="7FA75CF2"/>
    <w:rsid w:val="7FFD1DB6"/>
    <w:rsid w:val="7F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320"/>
        <w:tab w:val="right" w:pos="8640"/>
      </w:tabs>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3"/>
    <w:qFormat/>
    <w:uiPriority w:val="0"/>
    <w:pPr>
      <w:ind w:firstLine="420" w:firstLineChars="200"/>
    </w:pPr>
  </w:style>
  <w:style w:type="character" w:styleId="10">
    <w:name w:val="Strong"/>
    <w:basedOn w:val="9"/>
    <w:qFormat/>
    <w:uiPriority w:val="22"/>
    <w:rPr>
      <w:b/>
      <w:bCs/>
    </w:rPr>
  </w:style>
  <w:style w:type="character" w:styleId="11">
    <w:name w:val="FollowedHyperlink"/>
    <w:basedOn w:val="9"/>
    <w:qFormat/>
    <w:uiPriority w:val="0"/>
    <w:rPr>
      <w:color w:val="000000"/>
      <w:u w:val="none"/>
    </w:rPr>
  </w:style>
  <w:style w:type="character" w:styleId="12">
    <w:name w:val="HTML Definition"/>
    <w:basedOn w:val="9"/>
    <w:qFormat/>
    <w:uiPriority w:val="0"/>
  </w:style>
  <w:style w:type="character" w:styleId="13">
    <w:name w:val="HTML Variable"/>
    <w:basedOn w:val="9"/>
    <w:qFormat/>
    <w:uiPriority w:val="0"/>
  </w:style>
  <w:style w:type="character" w:styleId="14">
    <w:name w:val="Hyperlink"/>
    <w:basedOn w:val="9"/>
    <w:unhideWhenUsed/>
    <w:qFormat/>
    <w:uiPriority w:val="99"/>
    <w:rPr>
      <w:color w:val="0563C1" w:themeColor="hyperlink"/>
      <w:u w:val="single"/>
      <w14:textFill>
        <w14:solidFill>
          <w14:schemeClr w14:val="hlink"/>
        </w14:solidFill>
      </w14:textFill>
    </w:rPr>
  </w:style>
  <w:style w:type="character" w:styleId="15">
    <w:name w:val="HTML Code"/>
    <w:basedOn w:val="9"/>
    <w:qFormat/>
    <w:uiPriority w:val="0"/>
    <w:rPr>
      <w:rFonts w:ascii="Courier New" w:hAnsi="Courier New"/>
      <w:sz w:val="20"/>
    </w:rPr>
  </w:style>
  <w:style w:type="character" w:styleId="16">
    <w:name w:val="HTML Cite"/>
    <w:basedOn w:val="9"/>
    <w:qFormat/>
    <w:uiPriority w:val="0"/>
  </w:style>
  <w:style w:type="paragraph" w:customStyle="1" w:styleId="17">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12852</Words>
  <Characters>13446</Characters>
  <Lines>117</Lines>
  <Paragraphs>33</Paragraphs>
  <TotalTime>5</TotalTime>
  <ScaleCrop>false</ScaleCrop>
  <LinksUpToDate>false</LinksUpToDate>
  <CharactersWithSpaces>13456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2022-12-01T01:26:00Z</dcterms:created>
  <dc:creator>think book14</dc:creator>
  <cp:lastModifiedBy>孙一枚</cp:lastModifiedBy>
  <dcterms:modified xsi:type="dcterms:W3CDTF">2023-01-10T03:02:14Z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9E452AD7F83F4BCA8AA7C07C1B9C88F7</vt:lpwstr>
  </property>
</Properties>
</file>